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jc w:val="center"/>
        <w:outlineLvl w:val="0"/>
        <w:rPr>
          <w:rFonts w:hint="eastAsia" w:ascii="楷体" w:hAnsi="楷体" w:eastAsia="楷体"/>
          <w:b/>
          <w:sz w:val="36"/>
          <w:szCs w:val="36"/>
        </w:rPr>
      </w:pPr>
      <w:r>
        <w:rPr>
          <w:rFonts w:hint="eastAsia" w:ascii="楷体" w:hAnsi="楷体" w:eastAsia="楷体"/>
          <w:b/>
          <w:sz w:val="36"/>
          <w:szCs w:val="36"/>
        </w:rPr>
        <w:t>资格要求</w:t>
      </w:r>
    </w:p>
    <w:p/>
    <w:p>
      <w:pPr>
        <w:spacing w:line="360" w:lineRule="auto"/>
        <w:ind w:firstLine="480"/>
        <w:rPr>
          <w:rFonts w:hint="eastAsia" w:ascii="楷体" w:hAnsi="楷体" w:eastAsia="楷体"/>
          <w:sz w:val="24"/>
          <w:szCs w:val="24"/>
        </w:rPr>
      </w:pPr>
      <w:r>
        <w:rPr>
          <w:rFonts w:hint="eastAsia" w:ascii="楷体" w:hAnsi="楷体" w:eastAsia="楷体"/>
          <w:sz w:val="24"/>
          <w:szCs w:val="24"/>
        </w:rPr>
        <w:t xml:space="preserve">1.具有独立法人资格和合法的经营范围，且具有本项目服务能力； </w:t>
      </w:r>
    </w:p>
    <w:p>
      <w:pPr>
        <w:spacing w:line="360" w:lineRule="auto"/>
        <w:ind w:firstLine="480"/>
        <w:rPr>
          <w:rFonts w:hint="eastAsia" w:ascii="楷体" w:hAnsi="楷体" w:eastAsia="楷体"/>
          <w:sz w:val="24"/>
          <w:szCs w:val="24"/>
        </w:rPr>
      </w:pPr>
      <w:r>
        <w:rPr>
          <w:rFonts w:hint="eastAsia" w:ascii="楷体" w:hAnsi="楷体" w:eastAsia="楷体"/>
          <w:sz w:val="24"/>
          <w:szCs w:val="24"/>
        </w:rPr>
        <w:t>2.具备公安部第三研究所颁发的《网络安全服务认证证书等级保护测评服务认证》；</w:t>
      </w:r>
    </w:p>
    <w:p>
      <w:pPr>
        <w:spacing w:line="360" w:lineRule="auto"/>
        <w:ind w:firstLine="480"/>
        <w:rPr>
          <w:rFonts w:hint="eastAsia" w:ascii="楷体" w:hAnsi="楷体" w:eastAsia="楷体"/>
          <w:sz w:val="24"/>
          <w:szCs w:val="24"/>
        </w:rPr>
      </w:pPr>
      <w:r>
        <w:rPr>
          <w:rFonts w:hint="eastAsia" w:ascii="楷体" w:hAnsi="楷体" w:eastAsia="楷体"/>
          <w:sz w:val="24"/>
          <w:szCs w:val="24"/>
        </w:rPr>
        <w:t>3.评标时，投标人未被列入国家信息中心“信用中国”网站“失信被执行人”、“经营（活动）异常名录信息查询”、“重大税收违法失信主体”和“</w:t>
      </w:r>
      <w:r>
        <w:rPr>
          <w:rFonts w:ascii="楷体" w:hAnsi="楷体" w:eastAsia="楷体"/>
          <w:sz w:val="24"/>
          <w:szCs w:val="24"/>
        </w:rPr>
        <w:t>政府采购严重违法失信行为记录名单</w:t>
      </w:r>
      <w:r>
        <w:rPr>
          <w:rFonts w:hint="eastAsia" w:ascii="楷体" w:hAnsi="楷体" w:eastAsia="楷体"/>
          <w:sz w:val="24"/>
          <w:szCs w:val="24"/>
        </w:rPr>
        <w:t>”；</w:t>
      </w:r>
    </w:p>
    <w:p>
      <w:pPr>
        <w:spacing w:line="360" w:lineRule="auto"/>
        <w:ind w:firstLine="480"/>
        <w:rPr>
          <w:rFonts w:hint="eastAsia" w:ascii="楷体" w:hAnsi="楷体" w:eastAsia="楷体"/>
          <w:sz w:val="24"/>
          <w:szCs w:val="24"/>
        </w:rPr>
      </w:pPr>
      <w:r>
        <w:rPr>
          <w:rFonts w:hint="eastAsia" w:ascii="楷体" w:hAnsi="楷体" w:eastAsia="楷体"/>
          <w:sz w:val="24"/>
          <w:szCs w:val="24"/>
        </w:rPr>
        <w:t>4.与招标人存在利害关系可能影响招标公正性的法人、其他组织或者个人，不得参加投标。单位负责人为同一人或者存在控股、管理关系的不同单位，不得参加同一标段（包）投标。</w:t>
      </w:r>
    </w:p>
    <w:p>
      <w:pPr>
        <w:spacing w:line="360" w:lineRule="auto"/>
        <w:ind w:firstLine="480"/>
        <w:rPr>
          <w:rFonts w:hint="eastAsia" w:ascii="楷体" w:hAnsi="楷体" w:eastAsia="楷体"/>
          <w:sz w:val="24"/>
          <w:szCs w:val="24"/>
        </w:rPr>
      </w:pPr>
      <w:r>
        <w:rPr>
          <w:rFonts w:hint="eastAsia" w:ascii="楷体" w:hAnsi="楷体" w:eastAsia="楷体"/>
          <w:sz w:val="24"/>
          <w:szCs w:val="24"/>
        </w:rPr>
        <w:t>5.本项目不接受联合体投标。</w:t>
      </w:r>
    </w:p>
    <w:p>
      <w:pPr>
        <w:spacing w:line="360" w:lineRule="auto"/>
        <w:ind w:firstLine="480"/>
        <w:rPr>
          <w:rFonts w:hint="eastAsia" w:ascii="楷体" w:hAnsi="楷体" w:eastAsia="楷体"/>
          <w:sz w:val="24"/>
          <w:szCs w:val="24"/>
        </w:rPr>
      </w:pPr>
      <w:r>
        <w:rPr>
          <w:rFonts w:hint="eastAsia" w:ascii="楷体" w:hAnsi="楷体" w:eastAsia="楷体"/>
          <w:sz w:val="24"/>
          <w:szCs w:val="24"/>
        </w:rPr>
        <w:t>投标人报名时携带资料包括：a.营业执照（加盖投标人公章的复印件）；b.法定代表人授权委托书（原件）；c.被授权人身份证（原件及加盖投标人公章的复印件）；d. 《网络安全服务认证证书等级保护测评服务认证》（加盖投标人公章的复印件）；</w:t>
      </w:r>
    </w:p>
    <w:p>
      <w:pPr>
        <w:widowControl/>
        <w:adjustRightInd/>
        <w:spacing w:line="240" w:lineRule="auto"/>
        <w:jc w:val="left"/>
        <w:textAlignment w:val="auto"/>
        <w:rPr>
          <w:rFonts w:hint="eastAsia" w:ascii="楷体" w:hAnsi="楷体" w:eastAsia="楷体"/>
          <w:b/>
          <w:sz w:val="36"/>
          <w:szCs w:val="36"/>
        </w:rPr>
      </w:pPr>
      <w:r>
        <w:rPr>
          <w:rFonts w:ascii="楷体" w:hAnsi="楷体" w:eastAsia="楷体"/>
          <w:b/>
          <w:sz w:val="36"/>
          <w:szCs w:val="36"/>
        </w:rPr>
        <w:br w:type="page"/>
      </w:r>
    </w:p>
    <w:p>
      <w:pPr>
        <w:ind w:firstLine="420"/>
        <w:jc w:val="center"/>
        <w:outlineLvl w:val="0"/>
        <w:rPr>
          <w:rFonts w:hint="eastAsia" w:ascii="楷体" w:hAnsi="楷体" w:eastAsia="楷体"/>
          <w:b/>
          <w:sz w:val="36"/>
          <w:szCs w:val="36"/>
        </w:rPr>
      </w:pPr>
      <w:r>
        <w:rPr>
          <w:rFonts w:hint="eastAsia" w:ascii="楷体" w:hAnsi="楷体" w:eastAsia="楷体"/>
          <w:b/>
          <w:sz w:val="36"/>
          <w:szCs w:val="36"/>
        </w:rPr>
        <w:t>技术规范书</w:t>
      </w:r>
    </w:p>
    <w:p>
      <w:pPr>
        <w:spacing w:line="360" w:lineRule="auto"/>
        <w:ind w:firstLine="480"/>
        <w:rPr>
          <w:rFonts w:hint="eastAsia" w:ascii="楷体" w:hAnsi="楷体" w:eastAsia="楷体"/>
          <w:b/>
          <w:sz w:val="24"/>
          <w:szCs w:val="24"/>
        </w:rPr>
      </w:pPr>
      <w:r>
        <w:rPr>
          <w:rFonts w:hint="eastAsia" w:ascii="楷体" w:hAnsi="楷体" w:eastAsia="楷体"/>
          <w:b/>
          <w:sz w:val="24"/>
          <w:szCs w:val="24"/>
        </w:rPr>
        <w:t xml:space="preserve">一、项目概况 </w:t>
      </w:r>
    </w:p>
    <w:p>
      <w:pPr>
        <w:spacing w:line="360" w:lineRule="auto"/>
        <w:ind w:firstLine="480"/>
        <w:rPr>
          <w:rFonts w:hint="eastAsia" w:ascii="楷体" w:hAnsi="楷体" w:eastAsia="楷体"/>
          <w:sz w:val="24"/>
          <w:szCs w:val="24"/>
        </w:rPr>
      </w:pPr>
      <w:r>
        <w:rPr>
          <w:rFonts w:hint="eastAsia" w:ascii="楷体" w:hAnsi="楷体" w:eastAsia="楷体"/>
          <w:sz w:val="24"/>
          <w:szCs w:val="24"/>
        </w:rPr>
        <w:t>2017年6月1日起，《网络安全法》正式实施，其第21条明确规定，“国家实行网络安全等级保护制度。网络运营者应当按照网络安全等级保护制度的要求，履行下列安全保护义务，保障网络免受干扰、破坏或者未经授权的访问，防止网络数据泄露或者被窃取、篡改”。相关的文件均要求重要信息系统需尽快开展等级保护相关工作，以增加系统安全的规范性和有效性，提高用户的安全意识，增强网络的抗攻击的能力，保证被测系统正常运转。2019年12月1日起，《信息安全技术网络安全等级保护基本要求》（GB/T 22239-2019）和《信息安全技术网络安全等级保护测评要求》（GB/T 28448-2019）正式实施，要求本次等级保护测评按照等保2.0标准实施，采用最新的《网络安全等级保护测评报告模板（2025版）》出具测评报告。</w:t>
      </w:r>
    </w:p>
    <w:p>
      <w:pPr>
        <w:spacing w:line="360" w:lineRule="auto"/>
        <w:ind w:firstLine="480"/>
        <w:rPr>
          <w:rFonts w:hint="eastAsia" w:ascii="楷体" w:hAnsi="楷体" w:eastAsia="楷体"/>
          <w:sz w:val="24"/>
          <w:szCs w:val="24"/>
        </w:rPr>
      </w:pPr>
      <w:r>
        <w:rPr>
          <w:rFonts w:hint="eastAsia" w:ascii="楷体" w:hAnsi="楷体" w:eastAsia="楷体"/>
          <w:sz w:val="24"/>
          <w:szCs w:val="24"/>
        </w:rPr>
        <w:t>本次信息系统安全等级保护测评主要针</w:t>
      </w:r>
      <w:bookmarkStart w:id="3" w:name="_GoBack"/>
      <w:r>
        <w:rPr>
          <w:rFonts w:hint="eastAsia" w:ascii="楷体" w:hAnsi="楷体" w:eastAsia="楷体"/>
          <w:sz w:val="24"/>
          <w:szCs w:val="24"/>
          <w:highlight w:val="none"/>
        </w:rPr>
        <w:t>对</w:t>
      </w:r>
      <w:r>
        <w:rPr>
          <w:rFonts w:hint="eastAsia" w:ascii="楷体" w:hAnsi="楷体" w:eastAsia="楷体"/>
          <w:sz w:val="24"/>
          <w:szCs w:val="24"/>
          <w:highlight w:val="none"/>
          <w:lang w:val="en-US" w:eastAsia="zh-CN"/>
        </w:rPr>
        <w:t>本院</w:t>
      </w:r>
      <w:r>
        <w:rPr>
          <w:rFonts w:hint="default" w:ascii="楷体" w:hAnsi="楷体" w:eastAsia="楷体"/>
          <w:sz w:val="24"/>
          <w:szCs w:val="24"/>
          <w:highlight w:val="none"/>
          <w:lang w:val="en-US"/>
        </w:rPr>
        <w:t>六</w:t>
      </w:r>
      <w:bookmarkEnd w:id="3"/>
      <w:r>
        <w:rPr>
          <w:rFonts w:hint="default" w:ascii="楷体" w:hAnsi="楷体" w:eastAsia="楷体"/>
          <w:sz w:val="24"/>
          <w:szCs w:val="24"/>
          <w:highlight w:val="none"/>
          <w:lang w:val="en-US"/>
        </w:rPr>
        <w:t>个</w:t>
      </w:r>
      <w:r>
        <w:rPr>
          <w:rFonts w:hint="eastAsia" w:ascii="楷体" w:hAnsi="楷体" w:eastAsia="楷体"/>
          <w:sz w:val="24"/>
          <w:szCs w:val="24"/>
          <w:highlight w:val="none"/>
        </w:rPr>
        <w:t>第三级信息系统安全保障体系等各个环节做一次全面的评测分析。通过</w:t>
      </w:r>
      <w:r>
        <w:rPr>
          <w:rFonts w:hint="eastAsia" w:ascii="楷体" w:hAnsi="楷体" w:eastAsia="楷体"/>
          <w:sz w:val="24"/>
          <w:szCs w:val="24"/>
        </w:rPr>
        <w:t xml:space="preserve">评测，不仅进一步明确定级、备案、安全建设、等级测评、监督检查等规定动作，最主要的是把安全检测、通报预警、案事件调查等措施都将全部纳入等级保护制度并加以实施，分析定位信息系统安全风险和薄弱环节，制定信息系统安全风险管理策略，健全信息安全管理和保障体系，完善规章制度和操作流程。 </w:t>
      </w:r>
    </w:p>
    <w:p>
      <w:pPr>
        <w:spacing w:line="360" w:lineRule="auto"/>
        <w:ind w:firstLine="480"/>
        <w:rPr>
          <w:rFonts w:hint="eastAsia" w:ascii="楷体" w:hAnsi="楷体" w:eastAsia="楷体"/>
          <w:sz w:val="24"/>
          <w:szCs w:val="24"/>
        </w:rPr>
      </w:pPr>
      <w:r>
        <w:rPr>
          <w:rFonts w:hint="eastAsia" w:ascii="楷体" w:hAnsi="楷体" w:eastAsia="楷体"/>
          <w:sz w:val="24"/>
          <w:szCs w:val="24"/>
        </w:rPr>
        <w:t>被测信息系统根据上级主管部门要求和参照相关行业标准，明确等级、增强保护、常态监督，经专家评审确定信息系统保护等级，具体如下：</w:t>
      </w:r>
    </w:p>
    <w:p>
      <w:pPr>
        <w:spacing w:line="360" w:lineRule="auto"/>
        <w:ind w:firstLine="480"/>
        <w:rPr>
          <w:rFonts w:hint="eastAsia" w:ascii="楷体" w:hAnsi="楷体" w:eastAsia="楷体"/>
          <w:b/>
          <w:sz w:val="24"/>
          <w:szCs w:val="24"/>
        </w:rPr>
      </w:pPr>
      <w:r>
        <w:rPr>
          <w:rFonts w:hint="eastAsia" w:ascii="楷体" w:hAnsi="楷体" w:eastAsia="楷体"/>
          <w:b/>
          <w:sz w:val="24"/>
          <w:szCs w:val="24"/>
        </w:rPr>
        <w:t>二、测评目的</w:t>
      </w:r>
    </w:p>
    <w:p>
      <w:pPr>
        <w:spacing w:line="360" w:lineRule="auto"/>
        <w:ind w:firstLine="480"/>
        <w:rPr>
          <w:rFonts w:hint="eastAsia" w:ascii="楷体" w:hAnsi="楷体" w:eastAsia="楷体"/>
          <w:sz w:val="24"/>
          <w:szCs w:val="24"/>
        </w:rPr>
      </w:pPr>
      <w:r>
        <w:rPr>
          <w:rFonts w:hint="eastAsia" w:ascii="楷体" w:hAnsi="楷体" w:eastAsia="楷体"/>
          <w:sz w:val="24"/>
          <w:szCs w:val="24"/>
        </w:rPr>
        <w:t>本招标的宗旨在于通过对被测信息系统物理环境、网络设备、安全设备、服务器群、数据库、中间件以及应用软件系统实施等级保护测评，明确该系统的安全建设现状，找出存在的安全风险，分析安全建设差距，提出安全整改建议，并以此为基础，进一步制定安全建设整改方案，完善保护措施，使该信息系统满足我国关于等级保护相应级别的具体要求，增加信息系统安全的规范性和有效性，提高招标人的安全意识，增强网络的抗攻击的能力，保证被测系统正常运转。</w:t>
      </w:r>
    </w:p>
    <w:p>
      <w:pPr>
        <w:spacing w:line="360" w:lineRule="auto"/>
        <w:ind w:firstLine="480"/>
        <w:rPr>
          <w:rFonts w:hint="eastAsia" w:ascii="楷体" w:hAnsi="楷体" w:eastAsia="楷体"/>
          <w:b/>
          <w:sz w:val="24"/>
          <w:szCs w:val="24"/>
        </w:rPr>
      </w:pPr>
      <w:r>
        <w:rPr>
          <w:rFonts w:hint="eastAsia" w:ascii="楷体" w:hAnsi="楷体" w:eastAsia="楷体"/>
          <w:b/>
          <w:sz w:val="24"/>
          <w:szCs w:val="24"/>
        </w:rPr>
        <w:t>三、测评依据和标准</w:t>
      </w:r>
    </w:p>
    <w:p>
      <w:pPr>
        <w:spacing w:line="360" w:lineRule="auto"/>
        <w:ind w:firstLine="480"/>
        <w:rPr>
          <w:rFonts w:hint="eastAsia" w:ascii="楷体" w:hAnsi="楷体" w:eastAsia="楷体"/>
          <w:sz w:val="24"/>
          <w:szCs w:val="24"/>
        </w:rPr>
      </w:pPr>
      <w:r>
        <w:rPr>
          <w:rFonts w:hint="eastAsia" w:ascii="楷体" w:hAnsi="楷体" w:eastAsia="楷体"/>
          <w:sz w:val="24"/>
          <w:szCs w:val="24"/>
        </w:rPr>
        <w:t xml:space="preserve">中标人应依据国家等级保护相关标准开展工作，依据标准包括但不限于如下国家标准： </w:t>
      </w:r>
    </w:p>
    <w:p>
      <w:pPr>
        <w:pStyle w:val="11"/>
        <w:numPr>
          <w:ilvl w:val="0"/>
          <w:numId w:val="1"/>
        </w:numPr>
        <w:tabs>
          <w:tab w:val="left" w:pos="8280"/>
        </w:tabs>
        <w:spacing w:line="360" w:lineRule="auto"/>
        <w:ind w:left="0" w:firstLine="476"/>
        <w:rPr>
          <w:rFonts w:hint="eastAsia" w:ascii="楷体" w:hAnsi="楷体" w:eastAsia="楷体" w:cs="宋体"/>
          <w:spacing w:val="-1"/>
          <w:kern w:val="2"/>
          <w:sz w:val="24"/>
          <w:szCs w:val="24"/>
        </w:rPr>
      </w:pPr>
      <w:r>
        <w:rPr>
          <w:rFonts w:hint="eastAsia" w:ascii="楷体" w:hAnsi="楷体" w:eastAsia="楷体" w:cs="宋体"/>
          <w:spacing w:val="-1"/>
          <w:kern w:val="2"/>
          <w:sz w:val="24"/>
          <w:szCs w:val="24"/>
        </w:rPr>
        <w:t>《中华人民共和国网络安全法》</w:t>
      </w:r>
    </w:p>
    <w:p>
      <w:pPr>
        <w:pStyle w:val="11"/>
        <w:numPr>
          <w:ilvl w:val="0"/>
          <w:numId w:val="1"/>
        </w:numPr>
        <w:tabs>
          <w:tab w:val="left" w:pos="8280"/>
        </w:tabs>
        <w:spacing w:line="360" w:lineRule="auto"/>
        <w:ind w:left="0" w:firstLine="476"/>
        <w:rPr>
          <w:rFonts w:hint="eastAsia" w:ascii="楷体" w:hAnsi="楷体" w:eastAsia="楷体" w:cs="宋体"/>
          <w:spacing w:val="-1"/>
          <w:kern w:val="2"/>
          <w:sz w:val="24"/>
          <w:szCs w:val="24"/>
        </w:rPr>
      </w:pPr>
      <w:r>
        <w:rPr>
          <w:rFonts w:hint="eastAsia" w:ascii="楷体" w:hAnsi="楷体" w:eastAsia="楷体" w:cs="宋体"/>
          <w:spacing w:val="-1"/>
          <w:kern w:val="2"/>
          <w:sz w:val="24"/>
          <w:szCs w:val="24"/>
        </w:rPr>
        <w:t>《计算机信息系统 安全保护等级划分准则》（GB17859—1999）</w:t>
      </w:r>
    </w:p>
    <w:p>
      <w:pPr>
        <w:pStyle w:val="11"/>
        <w:numPr>
          <w:ilvl w:val="0"/>
          <w:numId w:val="1"/>
        </w:numPr>
        <w:tabs>
          <w:tab w:val="left" w:pos="8280"/>
        </w:tabs>
        <w:spacing w:line="360" w:lineRule="auto"/>
        <w:ind w:left="0" w:firstLine="476"/>
        <w:rPr>
          <w:rFonts w:hint="eastAsia" w:ascii="楷体" w:hAnsi="楷体" w:eastAsia="楷体" w:cs="宋体"/>
          <w:spacing w:val="-1"/>
          <w:kern w:val="2"/>
          <w:sz w:val="24"/>
          <w:szCs w:val="24"/>
        </w:rPr>
      </w:pPr>
      <w:r>
        <w:rPr>
          <w:rFonts w:hint="eastAsia" w:ascii="楷体" w:hAnsi="楷体" w:eastAsia="楷体" w:cs="宋体"/>
          <w:spacing w:val="-1"/>
          <w:kern w:val="2"/>
          <w:sz w:val="24"/>
          <w:szCs w:val="24"/>
        </w:rPr>
        <w:t>《信息安全技术 网络安全等级保护定级指南》(GB/T 22240-2020)</w:t>
      </w:r>
    </w:p>
    <w:p>
      <w:pPr>
        <w:pStyle w:val="11"/>
        <w:numPr>
          <w:ilvl w:val="0"/>
          <w:numId w:val="1"/>
        </w:numPr>
        <w:spacing w:line="360" w:lineRule="auto"/>
        <w:ind w:firstLineChars="0"/>
        <w:rPr>
          <w:rFonts w:hint="eastAsia" w:ascii="楷体" w:hAnsi="楷体" w:eastAsia="楷体" w:cs="宋体"/>
          <w:spacing w:val="-1"/>
          <w:kern w:val="2"/>
          <w:sz w:val="24"/>
          <w:szCs w:val="24"/>
        </w:rPr>
      </w:pPr>
      <w:r>
        <w:rPr>
          <w:rFonts w:hint="eastAsia" w:ascii="楷体" w:hAnsi="楷体" w:eastAsia="楷体" w:cs="宋体"/>
          <w:spacing w:val="-1"/>
          <w:kern w:val="2"/>
          <w:sz w:val="24"/>
          <w:szCs w:val="24"/>
        </w:rPr>
        <w:t>《信息安全技术 网络安全等级保护实施指南》(GB/T 25058-2019)</w:t>
      </w:r>
    </w:p>
    <w:p>
      <w:pPr>
        <w:pStyle w:val="11"/>
        <w:numPr>
          <w:ilvl w:val="0"/>
          <w:numId w:val="1"/>
        </w:numPr>
        <w:tabs>
          <w:tab w:val="left" w:pos="8280"/>
        </w:tabs>
        <w:spacing w:line="360" w:lineRule="auto"/>
        <w:ind w:left="0" w:firstLine="476"/>
        <w:rPr>
          <w:rFonts w:hint="eastAsia" w:ascii="楷体" w:hAnsi="楷体" w:eastAsia="楷体" w:cs="宋体"/>
          <w:spacing w:val="-1"/>
          <w:kern w:val="2"/>
          <w:sz w:val="24"/>
          <w:szCs w:val="24"/>
        </w:rPr>
      </w:pPr>
      <w:r>
        <w:rPr>
          <w:rFonts w:hint="eastAsia" w:ascii="楷体" w:hAnsi="楷体" w:eastAsia="楷体" w:cs="宋体"/>
          <w:spacing w:val="-1"/>
          <w:kern w:val="2"/>
          <w:sz w:val="24"/>
          <w:szCs w:val="24"/>
        </w:rPr>
        <w:t>《信息安全技术 网络安全等级保护基本要求》（GB/T 22239—2019）</w:t>
      </w:r>
    </w:p>
    <w:p>
      <w:pPr>
        <w:pStyle w:val="11"/>
        <w:numPr>
          <w:ilvl w:val="0"/>
          <w:numId w:val="1"/>
        </w:numPr>
        <w:tabs>
          <w:tab w:val="left" w:pos="8280"/>
        </w:tabs>
        <w:spacing w:line="360" w:lineRule="auto"/>
        <w:ind w:left="0" w:firstLine="476"/>
        <w:rPr>
          <w:rFonts w:hint="eastAsia" w:ascii="楷体" w:hAnsi="楷体" w:eastAsia="楷体" w:cs="宋体"/>
          <w:spacing w:val="-1"/>
          <w:kern w:val="2"/>
          <w:sz w:val="24"/>
          <w:szCs w:val="24"/>
        </w:rPr>
      </w:pPr>
      <w:r>
        <w:rPr>
          <w:rFonts w:hint="eastAsia" w:ascii="楷体" w:hAnsi="楷体" w:eastAsia="楷体" w:cs="宋体"/>
          <w:spacing w:val="-1"/>
          <w:kern w:val="2"/>
          <w:sz w:val="24"/>
          <w:szCs w:val="24"/>
        </w:rPr>
        <w:t>《信息安全技术 网络安全等级保护测评要求》（GB/T 28448—2019）</w:t>
      </w:r>
    </w:p>
    <w:p>
      <w:pPr>
        <w:pStyle w:val="11"/>
        <w:numPr>
          <w:ilvl w:val="0"/>
          <w:numId w:val="1"/>
        </w:numPr>
        <w:spacing w:line="360" w:lineRule="auto"/>
        <w:ind w:firstLineChars="0"/>
        <w:rPr>
          <w:rFonts w:hint="eastAsia" w:ascii="楷体" w:hAnsi="楷体" w:eastAsia="楷体" w:cs="宋体"/>
          <w:spacing w:val="-1"/>
          <w:kern w:val="2"/>
          <w:sz w:val="24"/>
          <w:szCs w:val="24"/>
        </w:rPr>
      </w:pPr>
      <w:r>
        <w:rPr>
          <w:rFonts w:hint="eastAsia" w:ascii="楷体" w:hAnsi="楷体" w:eastAsia="楷体" w:cs="宋体"/>
          <w:spacing w:val="-1"/>
          <w:kern w:val="2"/>
          <w:sz w:val="24"/>
          <w:szCs w:val="24"/>
        </w:rPr>
        <w:t>《信息安全技术 网络安全等级保护测评过程指南》（GB/T 28449—2018）</w:t>
      </w:r>
    </w:p>
    <w:p>
      <w:pPr>
        <w:pStyle w:val="11"/>
        <w:numPr>
          <w:ilvl w:val="0"/>
          <w:numId w:val="1"/>
        </w:numPr>
        <w:tabs>
          <w:tab w:val="left" w:pos="8280"/>
        </w:tabs>
        <w:spacing w:line="360" w:lineRule="auto"/>
        <w:ind w:left="0" w:firstLine="476"/>
        <w:rPr>
          <w:rFonts w:hint="eastAsia" w:ascii="楷体" w:hAnsi="楷体" w:eastAsia="楷体" w:cs="宋体"/>
          <w:spacing w:val="-1"/>
          <w:kern w:val="2"/>
          <w:sz w:val="24"/>
          <w:szCs w:val="24"/>
        </w:rPr>
      </w:pPr>
      <w:r>
        <w:rPr>
          <w:rFonts w:hint="eastAsia" w:ascii="楷体" w:hAnsi="楷体" w:eastAsia="楷体" w:cs="宋体"/>
          <w:spacing w:val="-1"/>
          <w:kern w:val="2"/>
          <w:sz w:val="24"/>
          <w:szCs w:val="24"/>
        </w:rPr>
        <w:t>《信息安全技术 网络安全等级保护安全设计技术要求》(GB/T 25070-2019)</w:t>
      </w:r>
    </w:p>
    <w:p>
      <w:pPr>
        <w:pStyle w:val="11"/>
        <w:numPr>
          <w:ilvl w:val="0"/>
          <w:numId w:val="1"/>
        </w:numPr>
        <w:tabs>
          <w:tab w:val="left" w:pos="8280"/>
        </w:tabs>
        <w:spacing w:line="360" w:lineRule="auto"/>
        <w:ind w:left="0" w:firstLine="476"/>
        <w:rPr>
          <w:rFonts w:hint="eastAsia" w:ascii="楷体" w:hAnsi="楷体" w:eastAsia="楷体" w:cs="宋体"/>
          <w:spacing w:val="-1"/>
          <w:kern w:val="2"/>
          <w:sz w:val="24"/>
          <w:szCs w:val="24"/>
        </w:rPr>
      </w:pPr>
      <w:r>
        <w:rPr>
          <w:rFonts w:hint="eastAsia" w:ascii="楷体" w:hAnsi="楷体" w:eastAsia="楷体" w:cs="宋体"/>
          <w:spacing w:val="-1"/>
          <w:kern w:val="2"/>
          <w:sz w:val="24"/>
          <w:szCs w:val="24"/>
        </w:rPr>
        <w:t>《信息安全技术 信息安全风险评估方法》（GB/T 20984—2022）</w:t>
      </w:r>
    </w:p>
    <w:p>
      <w:pPr>
        <w:tabs>
          <w:tab w:val="left" w:pos="8280"/>
        </w:tabs>
        <w:spacing w:line="360" w:lineRule="auto"/>
        <w:ind w:firstLine="482"/>
        <w:rPr>
          <w:rFonts w:hint="eastAsia" w:ascii="楷体" w:hAnsi="楷体" w:eastAsia="楷体"/>
          <w:b/>
          <w:bCs/>
          <w:sz w:val="24"/>
          <w:szCs w:val="24"/>
        </w:rPr>
      </w:pPr>
      <w:r>
        <w:rPr>
          <w:rFonts w:hint="eastAsia" w:ascii="楷体" w:hAnsi="楷体" w:eastAsia="楷体"/>
          <w:b/>
          <w:bCs/>
          <w:sz w:val="24"/>
          <w:szCs w:val="24"/>
        </w:rPr>
        <w:t>四、测评内容</w:t>
      </w:r>
    </w:p>
    <w:p>
      <w:pPr>
        <w:spacing w:line="360" w:lineRule="auto"/>
        <w:ind w:firstLine="480"/>
        <w:rPr>
          <w:rFonts w:hint="eastAsia" w:ascii="楷体" w:hAnsi="楷体" w:eastAsia="楷体"/>
          <w:b/>
          <w:sz w:val="24"/>
          <w:szCs w:val="24"/>
        </w:rPr>
      </w:pPr>
      <w:r>
        <w:rPr>
          <w:rFonts w:hint="eastAsia" w:ascii="楷体" w:hAnsi="楷体" w:eastAsia="楷体"/>
          <w:b/>
          <w:sz w:val="24"/>
          <w:szCs w:val="24"/>
        </w:rPr>
        <w:t>1.信息系统备案</w:t>
      </w:r>
    </w:p>
    <w:p>
      <w:pPr>
        <w:spacing w:line="360" w:lineRule="auto"/>
        <w:ind w:firstLine="480"/>
        <w:rPr>
          <w:rFonts w:hint="eastAsia" w:ascii="楷体" w:hAnsi="楷体" w:eastAsia="楷体"/>
          <w:sz w:val="24"/>
          <w:szCs w:val="24"/>
        </w:rPr>
      </w:pPr>
      <w:r>
        <w:rPr>
          <w:rFonts w:hint="eastAsia" w:ascii="楷体" w:hAnsi="楷体" w:eastAsia="楷体"/>
          <w:sz w:val="24"/>
          <w:szCs w:val="24"/>
        </w:rPr>
        <w:t>协助招标人按照网络安全等级保护定级报告模版（2025版）完成定级工作，按照网络安全等级保护备案表（2025版）完成备案工作。</w:t>
      </w:r>
    </w:p>
    <w:p>
      <w:pPr>
        <w:spacing w:line="360" w:lineRule="auto"/>
        <w:ind w:firstLine="480"/>
        <w:rPr>
          <w:rFonts w:hint="eastAsia" w:ascii="楷体" w:hAnsi="楷体" w:eastAsia="楷体"/>
          <w:b/>
          <w:sz w:val="24"/>
          <w:szCs w:val="24"/>
        </w:rPr>
      </w:pPr>
      <w:r>
        <w:rPr>
          <w:rFonts w:hint="eastAsia" w:ascii="楷体" w:hAnsi="楷体" w:eastAsia="楷体"/>
          <w:b/>
          <w:sz w:val="24"/>
          <w:szCs w:val="24"/>
        </w:rPr>
        <w:t>2.信息系统测评</w:t>
      </w:r>
    </w:p>
    <w:p>
      <w:pPr>
        <w:spacing w:line="360" w:lineRule="auto"/>
        <w:ind w:firstLine="480"/>
        <w:rPr>
          <w:rFonts w:hint="eastAsia" w:ascii="楷体" w:hAnsi="楷体" w:eastAsia="楷体"/>
          <w:sz w:val="24"/>
          <w:szCs w:val="24"/>
        </w:rPr>
      </w:pPr>
      <w:r>
        <w:rPr>
          <w:rFonts w:hint="eastAsia" w:ascii="楷体" w:hAnsi="楷体" w:eastAsia="楷体"/>
          <w:sz w:val="24"/>
          <w:szCs w:val="24"/>
        </w:rPr>
        <w:t>检查招标人的被测系统现状，参照《信息安全技术网络安全等级保护基本要求》（GB/T 22239-2019）从物理环境、通信网络、区域边界、计算环境、安全管理中心和安全管理等层面进行差距分析，依据《信息安全技术网络安全等级保护安全设计技术要求》（GB/T 25070-2019），对系统进行初次安全评估。</w:t>
      </w:r>
    </w:p>
    <w:p>
      <w:pPr>
        <w:spacing w:line="360" w:lineRule="auto"/>
        <w:ind w:firstLine="480"/>
        <w:rPr>
          <w:rFonts w:hint="eastAsia" w:ascii="楷体" w:hAnsi="楷体" w:eastAsia="楷体"/>
          <w:sz w:val="24"/>
          <w:szCs w:val="24"/>
        </w:rPr>
      </w:pPr>
      <w:r>
        <w:rPr>
          <w:rFonts w:hint="eastAsia" w:ascii="楷体" w:hAnsi="楷体" w:eastAsia="楷体"/>
          <w:sz w:val="24"/>
          <w:szCs w:val="24"/>
        </w:rPr>
        <w:t xml:space="preserve">测评内容： </w:t>
      </w:r>
    </w:p>
    <w:p>
      <w:pPr>
        <w:spacing w:line="360" w:lineRule="auto"/>
        <w:ind w:firstLine="480"/>
        <w:rPr>
          <w:rFonts w:hint="eastAsia" w:ascii="楷体" w:hAnsi="楷体" w:eastAsia="楷体"/>
          <w:sz w:val="24"/>
          <w:szCs w:val="24"/>
        </w:rPr>
      </w:pPr>
      <w:r>
        <w:rPr>
          <w:rFonts w:hint="eastAsia" w:ascii="楷体" w:hAnsi="楷体" w:eastAsia="楷体"/>
          <w:sz w:val="24"/>
          <w:szCs w:val="24"/>
        </w:rPr>
        <w:t xml:space="preserve">安全物理环境：包括位置、访问控制、防盗窃防破坏、防雷击、防火、防水和防潮、防静电、温湿度控制、电磁防护等内容。 </w:t>
      </w:r>
    </w:p>
    <w:p>
      <w:pPr>
        <w:spacing w:line="360" w:lineRule="auto"/>
        <w:ind w:firstLine="480"/>
        <w:rPr>
          <w:rFonts w:hint="eastAsia" w:ascii="楷体" w:hAnsi="楷体" w:eastAsia="楷体"/>
          <w:sz w:val="24"/>
          <w:szCs w:val="24"/>
        </w:rPr>
      </w:pPr>
      <w:r>
        <w:rPr>
          <w:rFonts w:hint="eastAsia" w:ascii="楷体" w:hAnsi="楷体" w:eastAsia="楷体"/>
          <w:sz w:val="24"/>
          <w:szCs w:val="24"/>
        </w:rPr>
        <w:t xml:space="preserve">安全通信网络：包括网络架构、通信传输、可信验证等内容。 </w:t>
      </w:r>
    </w:p>
    <w:p>
      <w:pPr>
        <w:spacing w:line="360" w:lineRule="auto"/>
        <w:ind w:firstLine="480"/>
        <w:rPr>
          <w:rFonts w:hint="eastAsia" w:ascii="楷体" w:hAnsi="楷体" w:eastAsia="楷体"/>
          <w:sz w:val="24"/>
          <w:szCs w:val="24"/>
        </w:rPr>
      </w:pPr>
      <w:r>
        <w:rPr>
          <w:rFonts w:hint="eastAsia" w:ascii="楷体" w:hAnsi="楷体" w:eastAsia="楷体"/>
          <w:sz w:val="24"/>
          <w:szCs w:val="24"/>
        </w:rPr>
        <w:t xml:space="preserve">安全区域边界：边界防护、访问控制、入侵防范、恶意代码和垃圾邮件防范、安全审计、可信验证等内容。 </w:t>
      </w:r>
    </w:p>
    <w:p>
      <w:pPr>
        <w:spacing w:line="360" w:lineRule="auto"/>
        <w:ind w:firstLine="480"/>
        <w:rPr>
          <w:rFonts w:hint="eastAsia" w:ascii="楷体" w:hAnsi="楷体" w:eastAsia="楷体"/>
          <w:sz w:val="24"/>
          <w:szCs w:val="24"/>
        </w:rPr>
      </w:pPr>
      <w:r>
        <w:rPr>
          <w:rFonts w:hint="eastAsia" w:ascii="楷体" w:hAnsi="楷体" w:eastAsia="楷体"/>
          <w:sz w:val="24"/>
          <w:szCs w:val="24"/>
        </w:rPr>
        <w:t xml:space="preserve">安全计算环境：包括身份鉴别、访问控制、安全审计、入侵防范、恶意代码防范、可信验证、数据完整性、数据保密性、数据备份恢复、剩余信息保护、个人信息保护等内容。 </w:t>
      </w:r>
    </w:p>
    <w:p>
      <w:pPr>
        <w:spacing w:line="360" w:lineRule="auto"/>
        <w:ind w:firstLine="480"/>
        <w:rPr>
          <w:rFonts w:hint="eastAsia" w:ascii="楷体" w:hAnsi="楷体" w:eastAsia="楷体"/>
          <w:sz w:val="24"/>
          <w:szCs w:val="24"/>
        </w:rPr>
      </w:pPr>
      <w:r>
        <w:rPr>
          <w:rFonts w:hint="eastAsia" w:ascii="楷体" w:hAnsi="楷体" w:eastAsia="楷体"/>
          <w:sz w:val="24"/>
          <w:szCs w:val="24"/>
        </w:rPr>
        <w:t xml:space="preserve">安全管理中心：包括系统管理、审计管理、安全管理、集中管理等内容。 </w:t>
      </w:r>
    </w:p>
    <w:p>
      <w:pPr>
        <w:spacing w:line="360" w:lineRule="auto"/>
        <w:ind w:firstLine="480"/>
        <w:rPr>
          <w:rFonts w:hint="eastAsia" w:ascii="楷体" w:hAnsi="楷体" w:eastAsia="楷体"/>
          <w:sz w:val="24"/>
          <w:szCs w:val="24"/>
        </w:rPr>
      </w:pPr>
      <w:r>
        <w:rPr>
          <w:rFonts w:hint="eastAsia" w:ascii="楷体" w:hAnsi="楷体" w:eastAsia="楷体"/>
          <w:sz w:val="24"/>
          <w:szCs w:val="24"/>
        </w:rPr>
        <w:t>安全管理制度：安全策略、管理制度、制定和发布、评审和修订；</w:t>
      </w:r>
    </w:p>
    <w:p>
      <w:pPr>
        <w:spacing w:line="360" w:lineRule="auto"/>
        <w:ind w:firstLine="480"/>
        <w:rPr>
          <w:rFonts w:hint="eastAsia" w:ascii="楷体" w:hAnsi="楷体" w:eastAsia="楷体"/>
          <w:sz w:val="24"/>
          <w:szCs w:val="24"/>
        </w:rPr>
      </w:pPr>
      <w:r>
        <w:rPr>
          <w:rFonts w:hint="eastAsia" w:ascii="楷体" w:hAnsi="楷体" w:eastAsia="楷体"/>
          <w:sz w:val="24"/>
          <w:szCs w:val="24"/>
        </w:rPr>
        <w:t>安全管理机构：岗位设置、人员配备、评授权和审批、沟通和合作、审核和检查；</w:t>
      </w:r>
    </w:p>
    <w:p>
      <w:pPr>
        <w:spacing w:line="360" w:lineRule="auto"/>
        <w:ind w:firstLine="480"/>
        <w:rPr>
          <w:rFonts w:hint="eastAsia" w:ascii="楷体" w:hAnsi="楷体" w:eastAsia="楷体"/>
          <w:sz w:val="24"/>
          <w:szCs w:val="24"/>
        </w:rPr>
      </w:pPr>
      <w:r>
        <w:rPr>
          <w:rFonts w:hint="eastAsia" w:ascii="楷体" w:hAnsi="楷体" w:eastAsia="楷体"/>
          <w:sz w:val="24"/>
          <w:szCs w:val="24"/>
        </w:rPr>
        <w:t>安全管理人员：人员录用、人员离岗、安全意识教育和培训、外部人员访问管理；</w:t>
      </w:r>
    </w:p>
    <w:p>
      <w:pPr>
        <w:spacing w:line="360" w:lineRule="auto"/>
        <w:ind w:firstLine="480"/>
        <w:rPr>
          <w:rFonts w:hint="eastAsia" w:ascii="楷体" w:hAnsi="楷体" w:eastAsia="楷体"/>
          <w:sz w:val="24"/>
          <w:szCs w:val="24"/>
        </w:rPr>
      </w:pPr>
      <w:r>
        <w:rPr>
          <w:rFonts w:hint="eastAsia" w:ascii="楷体" w:hAnsi="楷体" w:eastAsia="楷体"/>
          <w:sz w:val="24"/>
          <w:szCs w:val="24"/>
        </w:rPr>
        <w:t>安全建设管理：定级和备案、安全方案设计、产品采购和使用、自行软件开发、外包软件开发、工程实施、测试验收、系统交付、等级测评、服务供应商选择；</w:t>
      </w:r>
    </w:p>
    <w:p>
      <w:pPr>
        <w:spacing w:line="360" w:lineRule="auto"/>
        <w:ind w:firstLine="480"/>
        <w:rPr>
          <w:rFonts w:hint="eastAsia" w:ascii="楷体" w:hAnsi="楷体" w:eastAsia="楷体"/>
          <w:sz w:val="24"/>
          <w:szCs w:val="24"/>
        </w:rPr>
      </w:pPr>
      <w:r>
        <w:rPr>
          <w:rFonts w:hint="eastAsia" w:ascii="楷体" w:hAnsi="楷体" w:eastAsia="楷体"/>
          <w:sz w:val="24"/>
          <w:szCs w:val="24"/>
        </w:rPr>
        <w:t xml:space="preserve">安全运维管理：环境管理、资产管理、介质管理、设备维护管理、漏洞和风险管理、网络和系统安全管理、恶意代码防范、配置管理、密码管理、变更管理、备份恢复管理、事件处置、应急预案管理、外包运维管理。 </w:t>
      </w:r>
    </w:p>
    <w:p>
      <w:pPr>
        <w:spacing w:line="360" w:lineRule="auto"/>
        <w:ind w:firstLine="480"/>
        <w:rPr>
          <w:rFonts w:hint="eastAsia" w:ascii="楷体" w:hAnsi="楷体" w:eastAsia="楷体"/>
          <w:b/>
          <w:sz w:val="24"/>
          <w:szCs w:val="24"/>
        </w:rPr>
      </w:pPr>
      <w:r>
        <w:rPr>
          <w:rFonts w:hint="eastAsia" w:ascii="楷体" w:hAnsi="楷体" w:eastAsia="楷体"/>
          <w:b/>
          <w:sz w:val="24"/>
          <w:szCs w:val="24"/>
        </w:rPr>
        <w:t>3.信息系统等保整改方案及建议</w:t>
      </w:r>
    </w:p>
    <w:p>
      <w:pPr>
        <w:spacing w:line="360" w:lineRule="auto"/>
        <w:ind w:firstLine="480"/>
        <w:rPr>
          <w:rFonts w:hint="eastAsia" w:ascii="楷体" w:hAnsi="楷体" w:eastAsia="楷体"/>
          <w:sz w:val="24"/>
          <w:szCs w:val="24"/>
        </w:rPr>
      </w:pPr>
      <w:r>
        <w:rPr>
          <w:rFonts w:hint="eastAsia" w:ascii="楷体" w:hAnsi="楷体" w:eastAsia="楷体"/>
          <w:sz w:val="24"/>
          <w:szCs w:val="24"/>
        </w:rPr>
        <w:t>通过对系统现状的分析和梳理，发现系统现有安全措施与等级保护基本要求的差距，提出安全整改建议，以指导后续安全整改工作。</w:t>
      </w:r>
    </w:p>
    <w:p>
      <w:pPr>
        <w:spacing w:line="360" w:lineRule="auto"/>
        <w:ind w:firstLine="480"/>
        <w:rPr>
          <w:rFonts w:hint="eastAsia" w:ascii="楷体" w:hAnsi="楷体" w:eastAsia="楷体"/>
          <w:b/>
          <w:sz w:val="24"/>
          <w:szCs w:val="24"/>
        </w:rPr>
      </w:pPr>
      <w:r>
        <w:rPr>
          <w:rFonts w:hint="eastAsia" w:ascii="楷体" w:hAnsi="楷体" w:eastAsia="楷体"/>
          <w:b/>
          <w:sz w:val="24"/>
          <w:szCs w:val="24"/>
        </w:rPr>
        <w:t>4.报告编制</w:t>
      </w:r>
    </w:p>
    <w:p>
      <w:pPr>
        <w:spacing w:line="360" w:lineRule="auto"/>
        <w:ind w:firstLine="480"/>
        <w:rPr>
          <w:rFonts w:hint="eastAsia" w:ascii="楷体" w:hAnsi="楷体" w:eastAsia="楷体"/>
          <w:sz w:val="24"/>
          <w:szCs w:val="24"/>
        </w:rPr>
      </w:pPr>
      <w:r>
        <w:rPr>
          <w:rFonts w:hint="eastAsia" w:ascii="楷体" w:hAnsi="楷体" w:eastAsia="楷体"/>
          <w:sz w:val="24"/>
          <w:szCs w:val="24"/>
        </w:rPr>
        <w:t>通过对现场测评获得的测评证据和资料，判定单项测评结果及单元测评结果，然后进行整体测评和风险分析，形成等级测评结论，按照《网络安全等级测评报告模版（2025年版）》编写等级测评报告。</w:t>
      </w:r>
    </w:p>
    <w:p>
      <w:pPr>
        <w:spacing w:line="360" w:lineRule="auto"/>
        <w:ind w:firstLine="480"/>
        <w:rPr>
          <w:rFonts w:hint="eastAsia" w:ascii="楷体" w:hAnsi="楷体" w:eastAsia="楷体"/>
          <w:sz w:val="24"/>
          <w:szCs w:val="24"/>
        </w:rPr>
      </w:pPr>
      <w:r>
        <w:rPr>
          <w:rFonts w:hint="eastAsia" w:ascii="楷体" w:hAnsi="楷体" w:eastAsia="楷体"/>
          <w:sz w:val="24"/>
          <w:szCs w:val="24"/>
        </w:rPr>
        <w:t>交付成果包括《</w:t>
      </w:r>
      <w:bookmarkStart w:id="0" w:name="_Hlk175725147"/>
      <w:r>
        <w:rPr>
          <w:rFonts w:hint="eastAsia" w:ascii="楷体" w:hAnsi="楷体" w:eastAsia="楷体"/>
          <w:sz w:val="24"/>
          <w:szCs w:val="24"/>
        </w:rPr>
        <w:t>网络安全</w:t>
      </w:r>
      <w:bookmarkEnd w:id="0"/>
      <w:r>
        <w:rPr>
          <w:rFonts w:hint="eastAsia" w:ascii="楷体" w:hAnsi="楷体" w:eastAsia="楷体"/>
          <w:sz w:val="24"/>
          <w:szCs w:val="24"/>
        </w:rPr>
        <w:t>等级测评报告》等。</w:t>
      </w:r>
    </w:p>
    <w:p>
      <w:pPr>
        <w:spacing w:line="360" w:lineRule="auto"/>
        <w:ind w:firstLine="480"/>
        <w:rPr>
          <w:rFonts w:hint="eastAsia" w:ascii="楷体" w:hAnsi="楷体" w:eastAsia="楷体"/>
          <w:b/>
          <w:sz w:val="24"/>
          <w:szCs w:val="24"/>
        </w:rPr>
      </w:pPr>
      <w:r>
        <w:rPr>
          <w:rFonts w:hint="eastAsia" w:ascii="楷体" w:hAnsi="楷体" w:eastAsia="楷体"/>
          <w:b/>
          <w:sz w:val="24"/>
          <w:szCs w:val="24"/>
        </w:rPr>
        <w:t>五、测评对象</w:t>
      </w:r>
    </w:p>
    <w:p>
      <w:pPr>
        <w:spacing w:line="360" w:lineRule="auto"/>
        <w:ind w:firstLine="480"/>
        <w:rPr>
          <w:rFonts w:hint="eastAsia" w:ascii="楷体" w:hAnsi="楷体" w:eastAsia="楷体"/>
          <w:sz w:val="24"/>
          <w:szCs w:val="24"/>
        </w:rPr>
      </w:pPr>
      <w:r>
        <w:rPr>
          <w:rFonts w:hint="eastAsia" w:ascii="楷体" w:hAnsi="楷体" w:eastAsia="楷体"/>
          <w:sz w:val="24"/>
          <w:szCs w:val="24"/>
        </w:rPr>
        <w:t>本系统测评的测评范围及对象包括以下几类：</w:t>
      </w:r>
    </w:p>
    <w:p>
      <w:pPr>
        <w:spacing w:line="360" w:lineRule="auto"/>
        <w:ind w:firstLine="480"/>
        <w:rPr>
          <w:rFonts w:hint="eastAsia" w:ascii="楷体" w:hAnsi="楷体" w:eastAsia="楷体"/>
          <w:sz w:val="24"/>
          <w:szCs w:val="24"/>
        </w:rPr>
      </w:pPr>
      <w:r>
        <w:rPr>
          <w:rFonts w:ascii="楷体" w:hAnsi="楷体" w:eastAsia="楷体"/>
          <w:sz w:val="24"/>
          <w:szCs w:val="24"/>
        </w:rPr>
        <w:t>1</w:t>
      </w:r>
      <w:r>
        <w:rPr>
          <w:rFonts w:hint="eastAsia" w:ascii="楷体" w:hAnsi="楷体" w:eastAsia="楷体"/>
          <w:sz w:val="24"/>
          <w:szCs w:val="24"/>
        </w:rPr>
        <w:t>.主机房（包括其环境、设备和设施等）和部分辅机房，应将放置了服务于信息系统的局部（包括整体）或对信息系统的局部（包括整体）安全性起重要作用的设备、设施的辅机房选取作为测评对象；</w:t>
      </w:r>
    </w:p>
    <w:p>
      <w:pPr>
        <w:spacing w:line="360" w:lineRule="auto"/>
        <w:ind w:firstLine="480"/>
        <w:rPr>
          <w:rFonts w:hint="eastAsia" w:ascii="楷体" w:hAnsi="楷体" w:eastAsia="楷体"/>
          <w:sz w:val="24"/>
          <w:szCs w:val="24"/>
        </w:rPr>
      </w:pPr>
      <w:r>
        <w:rPr>
          <w:rFonts w:ascii="楷体" w:hAnsi="楷体" w:eastAsia="楷体"/>
          <w:sz w:val="24"/>
          <w:szCs w:val="24"/>
        </w:rPr>
        <w:t>2</w:t>
      </w:r>
      <w:r>
        <w:rPr>
          <w:rFonts w:hint="eastAsia" w:ascii="楷体" w:hAnsi="楷体" w:eastAsia="楷体"/>
          <w:sz w:val="24"/>
          <w:szCs w:val="24"/>
        </w:rPr>
        <w:t>.办公场地：</w:t>
      </w:r>
      <w:r>
        <w:rPr>
          <w:rFonts w:ascii="楷体" w:hAnsi="楷体" w:eastAsia="楷体"/>
          <w:sz w:val="24"/>
          <w:szCs w:val="24"/>
        </w:rPr>
        <w:t xml:space="preserve"> </w:t>
      </w:r>
    </w:p>
    <w:p>
      <w:pPr>
        <w:spacing w:line="360" w:lineRule="auto"/>
        <w:ind w:firstLine="480"/>
        <w:rPr>
          <w:rFonts w:hint="eastAsia" w:ascii="楷体" w:hAnsi="楷体" w:eastAsia="楷体"/>
          <w:sz w:val="24"/>
          <w:szCs w:val="24"/>
        </w:rPr>
      </w:pPr>
      <w:r>
        <w:rPr>
          <w:rFonts w:ascii="楷体" w:hAnsi="楷体" w:eastAsia="楷体"/>
          <w:sz w:val="24"/>
          <w:szCs w:val="24"/>
        </w:rPr>
        <w:t>3</w:t>
      </w:r>
      <w:r>
        <w:rPr>
          <w:rFonts w:hint="eastAsia" w:ascii="楷体" w:hAnsi="楷体" w:eastAsia="楷体"/>
          <w:sz w:val="24"/>
          <w:szCs w:val="24"/>
        </w:rPr>
        <w:t>.整个系统的网络拓扑结构；</w:t>
      </w:r>
    </w:p>
    <w:p>
      <w:pPr>
        <w:spacing w:line="360" w:lineRule="auto"/>
        <w:ind w:firstLine="480"/>
        <w:rPr>
          <w:rFonts w:hint="eastAsia" w:ascii="楷体" w:hAnsi="楷体" w:eastAsia="楷体"/>
          <w:sz w:val="24"/>
          <w:szCs w:val="24"/>
        </w:rPr>
      </w:pPr>
      <w:r>
        <w:rPr>
          <w:rFonts w:ascii="楷体" w:hAnsi="楷体" w:eastAsia="楷体"/>
          <w:sz w:val="24"/>
          <w:szCs w:val="24"/>
        </w:rPr>
        <w:t>4</w:t>
      </w:r>
      <w:r>
        <w:rPr>
          <w:rFonts w:hint="eastAsia" w:ascii="楷体" w:hAnsi="楷体" w:eastAsia="楷体"/>
          <w:sz w:val="24"/>
          <w:szCs w:val="24"/>
        </w:rPr>
        <w:t>.安全设备，包括防火墙、入侵检测设备和防病毒网关等；</w:t>
      </w:r>
    </w:p>
    <w:p>
      <w:pPr>
        <w:spacing w:line="360" w:lineRule="auto"/>
        <w:ind w:firstLine="480"/>
        <w:rPr>
          <w:rFonts w:hint="eastAsia" w:ascii="楷体" w:hAnsi="楷体" w:eastAsia="楷体"/>
          <w:sz w:val="24"/>
          <w:szCs w:val="24"/>
        </w:rPr>
      </w:pPr>
      <w:r>
        <w:rPr>
          <w:rFonts w:ascii="楷体" w:hAnsi="楷体" w:eastAsia="楷体"/>
          <w:sz w:val="24"/>
          <w:szCs w:val="24"/>
        </w:rPr>
        <w:t>5</w:t>
      </w:r>
      <w:r>
        <w:rPr>
          <w:rFonts w:hint="eastAsia" w:ascii="楷体" w:hAnsi="楷体" w:eastAsia="楷体"/>
          <w:sz w:val="24"/>
          <w:szCs w:val="24"/>
        </w:rPr>
        <w:t>.边界网络设（可能会包含安全设备），包括路由器、防火墙、认证网关和边界接入设备（如楼层交换机）等；</w:t>
      </w:r>
    </w:p>
    <w:p>
      <w:pPr>
        <w:spacing w:line="360" w:lineRule="auto"/>
        <w:ind w:firstLine="480"/>
        <w:rPr>
          <w:rFonts w:hint="eastAsia" w:ascii="楷体" w:hAnsi="楷体" w:eastAsia="楷体"/>
          <w:sz w:val="24"/>
          <w:szCs w:val="24"/>
        </w:rPr>
      </w:pPr>
      <w:r>
        <w:rPr>
          <w:rFonts w:ascii="楷体" w:hAnsi="楷体" w:eastAsia="楷体"/>
          <w:sz w:val="24"/>
          <w:szCs w:val="24"/>
        </w:rPr>
        <w:t>6</w:t>
      </w:r>
      <w:r>
        <w:rPr>
          <w:rFonts w:hint="eastAsia" w:ascii="楷体" w:hAnsi="楷体" w:eastAsia="楷体"/>
          <w:sz w:val="24"/>
          <w:szCs w:val="24"/>
        </w:rPr>
        <w:t>.对整个信息系统或其局部的安全性起作用的网络互联设备，如核心交换机、汇聚层交换机、路由器等；</w:t>
      </w:r>
    </w:p>
    <w:p>
      <w:pPr>
        <w:spacing w:line="360" w:lineRule="auto"/>
        <w:ind w:firstLine="480"/>
        <w:rPr>
          <w:rFonts w:hint="eastAsia" w:ascii="楷体" w:hAnsi="楷体" w:eastAsia="楷体"/>
          <w:sz w:val="24"/>
          <w:szCs w:val="24"/>
        </w:rPr>
      </w:pPr>
      <w:r>
        <w:rPr>
          <w:rFonts w:ascii="楷体" w:hAnsi="楷体" w:eastAsia="楷体"/>
          <w:sz w:val="24"/>
          <w:szCs w:val="24"/>
        </w:rPr>
        <w:t>7</w:t>
      </w:r>
      <w:r>
        <w:rPr>
          <w:rFonts w:hint="eastAsia" w:ascii="楷体" w:hAnsi="楷体" w:eastAsia="楷体"/>
          <w:sz w:val="24"/>
          <w:szCs w:val="24"/>
        </w:rPr>
        <w:t>.存储被测系统重要数据的介质的存放环境；</w:t>
      </w:r>
    </w:p>
    <w:p>
      <w:pPr>
        <w:spacing w:line="360" w:lineRule="auto"/>
        <w:ind w:firstLine="480"/>
        <w:rPr>
          <w:rFonts w:hint="eastAsia" w:ascii="楷体" w:hAnsi="楷体" w:eastAsia="楷体"/>
          <w:sz w:val="24"/>
          <w:szCs w:val="24"/>
        </w:rPr>
      </w:pPr>
      <w:r>
        <w:rPr>
          <w:rFonts w:ascii="楷体" w:hAnsi="楷体" w:eastAsia="楷体"/>
          <w:sz w:val="24"/>
          <w:szCs w:val="24"/>
        </w:rPr>
        <w:t>8</w:t>
      </w:r>
      <w:r>
        <w:rPr>
          <w:rFonts w:hint="eastAsia" w:ascii="楷体" w:hAnsi="楷体" w:eastAsia="楷体"/>
          <w:sz w:val="24"/>
          <w:szCs w:val="24"/>
        </w:rPr>
        <w:t>.承载被测系统主要业务或数据的服务器（包括其操作系统和数据库）；</w:t>
      </w:r>
    </w:p>
    <w:p>
      <w:pPr>
        <w:spacing w:line="360" w:lineRule="auto"/>
        <w:ind w:firstLine="480"/>
        <w:rPr>
          <w:rFonts w:hint="eastAsia" w:ascii="楷体" w:hAnsi="楷体" w:eastAsia="楷体"/>
          <w:sz w:val="24"/>
          <w:szCs w:val="24"/>
        </w:rPr>
      </w:pPr>
      <w:r>
        <w:rPr>
          <w:rFonts w:ascii="楷体" w:hAnsi="楷体" w:eastAsia="楷体"/>
          <w:sz w:val="24"/>
          <w:szCs w:val="24"/>
        </w:rPr>
        <w:t>9</w:t>
      </w:r>
      <w:r>
        <w:rPr>
          <w:rFonts w:hint="eastAsia" w:ascii="楷体" w:hAnsi="楷体" w:eastAsia="楷体"/>
          <w:sz w:val="24"/>
          <w:szCs w:val="24"/>
        </w:rPr>
        <w:t>.管理终端和主要业务应用系统终端；</w:t>
      </w:r>
    </w:p>
    <w:p>
      <w:pPr>
        <w:spacing w:line="360" w:lineRule="auto"/>
        <w:ind w:firstLine="480"/>
        <w:rPr>
          <w:rFonts w:hint="eastAsia" w:ascii="楷体" w:hAnsi="楷体" w:eastAsia="楷体"/>
          <w:sz w:val="24"/>
          <w:szCs w:val="24"/>
        </w:rPr>
      </w:pPr>
      <w:r>
        <w:rPr>
          <w:rFonts w:ascii="楷体" w:hAnsi="楷体" w:eastAsia="楷体"/>
          <w:sz w:val="24"/>
          <w:szCs w:val="24"/>
        </w:rPr>
        <w:t>10</w:t>
      </w:r>
      <w:r>
        <w:rPr>
          <w:rFonts w:hint="eastAsia" w:ascii="楷体" w:hAnsi="楷体" w:eastAsia="楷体"/>
          <w:sz w:val="24"/>
          <w:szCs w:val="24"/>
        </w:rPr>
        <w:t>.对新建信息系统及关联信息系统；</w:t>
      </w:r>
    </w:p>
    <w:p>
      <w:pPr>
        <w:spacing w:line="360" w:lineRule="auto"/>
        <w:ind w:firstLine="480"/>
        <w:rPr>
          <w:rFonts w:hint="eastAsia" w:ascii="楷体" w:hAnsi="楷体" w:eastAsia="楷体"/>
          <w:sz w:val="24"/>
          <w:szCs w:val="24"/>
        </w:rPr>
      </w:pPr>
      <w:r>
        <w:rPr>
          <w:rFonts w:ascii="楷体" w:hAnsi="楷体" w:eastAsia="楷体"/>
          <w:sz w:val="24"/>
          <w:szCs w:val="24"/>
        </w:rPr>
        <w:t>11</w:t>
      </w:r>
      <w:r>
        <w:rPr>
          <w:rFonts w:hint="eastAsia" w:ascii="楷体" w:hAnsi="楷体" w:eastAsia="楷体"/>
          <w:sz w:val="24"/>
          <w:szCs w:val="24"/>
        </w:rPr>
        <w:t>.业务备份系统；</w:t>
      </w:r>
    </w:p>
    <w:p>
      <w:pPr>
        <w:spacing w:line="360" w:lineRule="auto"/>
        <w:ind w:firstLine="480"/>
        <w:rPr>
          <w:rFonts w:hint="eastAsia" w:ascii="楷体" w:hAnsi="楷体" w:eastAsia="楷体"/>
          <w:sz w:val="24"/>
          <w:szCs w:val="24"/>
        </w:rPr>
      </w:pPr>
      <w:r>
        <w:rPr>
          <w:rFonts w:ascii="楷体" w:hAnsi="楷体" w:eastAsia="楷体"/>
          <w:sz w:val="24"/>
          <w:szCs w:val="24"/>
        </w:rPr>
        <w:t>12</w:t>
      </w:r>
      <w:r>
        <w:rPr>
          <w:rFonts w:hint="eastAsia" w:ascii="楷体" w:hAnsi="楷体" w:eastAsia="楷体"/>
          <w:sz w:val="24"/>
          <w:szCs w:val="24"/>
        </w:rPr>
        <w:t>.管理方面：信息安全主管人员、各方面的负责人员、具体负责安全管理的当事人、业务负责人；</w:t>
      </w:r>
    </w:p>
    <w:p>
      <w:pPr>
        <w:spacing w:line="360" w:lineRule="auto"/>
        <w:ind w:firstLine="480"/>
        <w:rPr>
          <w:rFonts w:hint="eastAsia" w:ascii="楷体" w:hAnsi="楷体" w:eastAsia="楷体"/>
          <w:sz w:val="24"/>
          <w:szCs w:val="24"/>
        </w:rPr>
      </w:pPr>
      <w:r>
        <w:rPr>
          <w:rFonts w:hint="eastAsia" w:ascii="楷体" w:hAnsi="楷体" w:eastAsia="楷体"/>
          <w:sz w:val="24"/>
          <w:szCs w:val="24"/>
        </w:rPr>
        <w:t>13.产品方面：信息系统使用、运行的第三方软件产品；</w:t>
      </w:r>
    </w:p>
    <w:p>
      <w:pPr>
        <w:spacing w:line="360" w:lineRule="auto"/>
        <w:ind w:firstLine="480"/>
        <w:rPr>
          <w:rFonts w:hint="eastAsia" w:ascii="楷体" w:hAnsi="楷体" w:eastAsia="楷体"/>
          <w:sz w:val="24"/>
          <w:szCs w:val="24"/>
        </w:rPr>
      </w:pPr>
      <w:r>
        <w:rPr>
          <w:rFonts w:ascii="楷体" w:hAnsi="楷体" w:eastAsia="楷体"/>
          <w:sz w:val="24"/>
          <w:szCs w:val="24"/>
        </w:rPr>
        <w:t>1</w:t>
      </w:r>
      <w:r>
        <w:rPr>
          <w:rFonts w:hint="eastAsia" w:ascii="楷体" w:hAnsi="楷体" w:eastAsia="楷体"/>
          <w:sz w:val="24"/>
          <w:szCs w:val="24"/>
        </w:rPr>
        <w:t>4.涉及到信息系统安全的所有管理制度设计和记录要求。</w:t>
      </w:r>
    </w:p>
    <w:p>
      <w:pPr>
        <w:spacing w:line="360" w:lineRule="auto"/>
        <w:ind w:firstLine="480"/>
        <w:rPr>
          <w:rFonts w:hint="eastAsia" w:ascii="楷体" w:hAnsi="楷体" w:eastAsia="楷体"/>
          <w:b/>
          <w:sz w:val="24"/>
          <w:szCs w:val="24"/>
        </w:rPr>
      </w:pPr>
      <w:r>
        <w:rPr>
          <w:rFonts w:hint="eastAsia" w:ascii="楷体" w:hAnsi="楷体" w:eastAsia="楷体"/>
          <w:b/>
          <w:sz w:val="24"/>
          <w:szCs w:val="24"/>
        </w:rPr>
        <w:t>六、测评应遵循的标准和原则</w:t>
      </w:r>
    </w:p>
    <w:p>
      <w:pPr>
        <w:spacing w:line="360" w:lineRule="auto"/>
        <w:ind w:firstLine="480"/>
        <w:rPr>
          <w:rFonts w:hint="eastAsia" w:ascii="楷体" w:hAnsi="楷体" w:eastAsia="楷体"/>
          <w:sz w:val="24"/>
          <w:szCs w:val="24"/>
        </w:rPr>
      </w:pPr>
      <w:r>
        <w:rPr>
          <w:rFonts w:hint="eastAsia" w:ascii="楷体" w:hAnsi="楷体" w:eastAsia="楷体"/>
          <w:sz w:val="24"/>
          <w:szCs w:val="24"/>
        </w:rPr>
        <w:t>本次测评应满足“一个中心，三重防护”的思想，强调事前预防，事中响应，事后审计。安全保护等级保护测评实施方案设计与具体实施应满足以下原则：</w:t>
      </w:r>
    </w:p>
    <w:p>
      <w:pPr>
        <w:spacing w:line="360" w:lineRule="auto"/>
        <w:ind w:firstLine="480"/>
        <w:rPr>
          <w:rFonts w:hint="eastAsia" w:ascii="楷体" w:hAnsi="楷体" w:eastAsia="楷体"/>
          <w:sz w:val="24"/>
          <w:szCs w:val="24"/>
        </w:rPr>
      </w:pPr>
      <w:r>
        <w:rPr>
          <w:rFonts w:ascii="楷体" w:hAnsi="楷体" w:eastAsia="楷体"/>
          <w:sz w:val="24"/>
          <w:szCs w:val="24"/>
        </w:rPr>
        <w:t>1</w:t>
      </w:r>
      <w:r>
        <w:rPr>
          <w:rFonts w:hint="eastAsia" w:ascii="楷体" w:hAnsi="楷体" w:eastAsia="楷体"/>
          <w:sz w:val="24"/>
          <w:szCs w:val="24"/>
        </w:rPr>
        <w:t>.保密原则：对测评的过程数据和结果数据严格保密，未经授权不得泄露给任何单位和个人，不得利用此数据进行任何侵害招标人的行为，否则招标人有权追究投标人的责任。</w:t>
      </w:r>
    </w:p>
    <w:p>
      <w:pPr>
        <w:spacing w:line="360" w:lineRule="auto"/>
        <w:ind w:firstLine="480"/>
        <w:rPr>
          <w:rFonts w:hint="eastAsia" w:ascii="楷体" w:hAnsi="楷体" w:eastAsia="楷体"/>
          <w:sz w:val="24"/>
          <w:szCs w:val="24"/>
        </w:rPr>
      </w:pPr>
      <w:r>
        <w:rPr>
          <w:rFonts w:ascii="楷体" w:hAnsi="楷体" w:eastAsia="楷体"/>
          <w:sz w:val="24"/>
          <w:szCs w:val="24"/>
        </w:rPr>
        <w:t>2</w:t>
      </w:r>
      <w:r>
        <w:rPr>
          <w:rFonts w:hint="eastAsia" w:ascii="楷体" w:hAnsi="楷体" w:eastAsia="楷体"/>
          <w:sz w:val="24"/>
          <w:szCs w:val="24"/>
        </w:rPr>
        <w:t>.规范性原则：投标人的工作中的过程和文档，具有很好的规范性，可以便于项目的跟踪和控制。</w:t>
      </w:r>
    </w:p>
    <w:p>
      <w:pPr>
        <w:spacing w:line="360" w:lineRule="auto"/>
        <w:ind w:firstLine="480"/>
        <w:rPr>
          <w:rFonts w:hint="eastAsia" w:ascii="楷体" w:hAnsi="楷体" w:eastAsia="楷体"/>
          <w:sz w:val="24"/>
          <w:szCs w:val="24"/>
        </w:rPr>
      </w:pPr>
      <w:r>
        <w:rPr>
          <w:rFonts w:ascii="楷体" w:hAnsi="楷体" w:eastAsia="楷体"/>
          <w:sz w:val="24"/>
          <w:szCs w:val="24"/>
        </w:rPr>
        <w:t>3</w:t>
      </w:r>
      <w:r>
        <w:rPr>
          <w:rFonts w:hint="eastAsia" w:ascii="楷体" w:hAnsi="楷体" w:eastAsia="楷体"/>
          <w:sz w:val="24"/>
          <w:szCs w:val="24"/>
        </w:rPr>
        <w:t>.可控性原则：测评服务的进度要跟上进度表的安排，保证招标人对于测评工作的可控性。</w:t>
      </w:r>
    </w:p>
    <w:p>
      <w:pPr>
        <w:spacing w:line="360" w:lineRule="auto"/>
        <w:ind w:firstLine="480"/>
        <w:rPr>
          <w:rFonts w:hint="eastAsia" w:ascii="楷体" w:hAnsi="楷体" w:eastAsia="楷体"/>
          <w:sz w:val="24"/>
          <w:szCs w:val="24"/>
        </w:rPr>
      </w:pPr>
      <w:r>
        <w:rPr>
          <w:rFonts w:ascii="楷体" w:hAnsi="楷体" w:eastAsia="楷体"/>
          <w:sz w:val="24"/>
          <w:szCs w:val="24"/>
        </w:rPr>
        <w:t>4</w:t>
      </w:r>
      <w:r>
        <w:rPr>
          <w:rFonts w:hint="eastAsia" w:ascii="楷体" w:hAnsi="楷体" w:eastAsia="楷体"/>
          <w:sz w:val="24"/>
          <w:szCs w:val="24"/>
        </w:rPr>
        <w:t>.整体性原则：测评的范围和内容应当整体全面，包括国家等级保护相关要求涉及的各个层面。</w:t>
      </w:r>
    </w:p>
    <w:p>
      <w:pPr>
        <w:spacing w:line="360" w:lineRule="auto"/>
        <w:ind w:firstLine="480"/>
        <w:rPr>
          <w:rFonts w:hint="eastAsia" w:ascii="楷体" w:hAnsi="楷体" w:eastAsia="楷体"/>
          <w:sz w:val="24"/>
          <w:szCs w:val="24"/>
        </w:rPr>
      </w:pPr>
      <w:r>
        <w:rPr>
          <w:rFonts w:ascii="楷体" w:hAnsi="楷体" w:eastAsia="楷体"/>
          <w:sz w:val="24"/>
          <w:szCs w:val="24"/>
        </w:rPr>
        <w:t>5</w:t>
      </w:r>
      <w:r>
        <w:rPr>
          <w:rFonts w:hint="eastAsia" w:ascii="楷体" w:hAnsi="楷体" w:eastAsia="楷体"/>
          <w:sz w:val="24"/>
          <w:szCs w:val="24"/>
        </w:rPr>
        <w:t>.最小影响原则：测评工作应尽可能小的影响系统和网络，并在可控范围内；测评工作不能对现有信息系统的正常运行、业务的正常开展产生任何影响，保证现有系统</w:t>
      </w:r>
      <w:r>
        <w:rPr>
          <w:rFonts w:ascii="楷体" w:hAnsi="楷体" w:eastAsia="楷体"/>
          <w:sz w:val="24"/>
          <w:szCs w:val="24"/>
        </w:rPr>
        <w:t>24</w:t>
      </w:r>
      <w:r>
        <w:rPr>
          <w:rFonts w:hint="eastAsia" w:ascii="楷体" w:hAnsi="楷体" w:eastAsia="楷体"/>
          <w:sz w:val="24"/>
          <w:szCs w:val="24"/>
        </w:rPr>
        <w:t>小时的不间断、稳定、安全运行。</w:t>
      </w:r>
    </w:p>
    <w:p>
      <w:pPr>
        <w:spacing w:line="360" w:lineRule="auto"/>
        <w:ind w:firstLine="480"/>
        <w:rPr>
          <w:rFonts w:hint="eastAsia" w:ascii="楷体" w:hAnsi="楷体" w:eastAsia="楷体"/>
          <w:sz w:val="24"/>
          <w:szCs w:val="24"/>
        </w:rPr>
      </w:pPr>
      <w:r>
        <w:rPr>
          <w:rFonts w:ascii="楷体" w:hAnsi="楷体" w:eastAsia="楷体"/>
          <w:sz w:val="24"/>
          <w:szCs w:val="24"/>
        </w:rPr>
        <w:t>6</w:t>
      </w:r>
      <w:r>
        <w:rPr>
          <w:rFonts w:hint="eastAsia" w:ascii="楷体" w:hAnsi="楷体" w:eastAsia="楷体"/>
          <w:sz w:val="24"/>
          <w:szCs w:val="24"/>
        </w:rPr>
        <w:t>.非高峰期原则：漏洞扫描及渗透测试时间，应尽量安排在夜间或法定节假日期间，制定切实可行的测试实施细则；对意外导致的宕机等，应提供技术保障方案，切实保证关键系统能正常工作。</w:t>
      </w:r>
    </w:p>
    <w:p>
      <w:pPr>
        <w:spacing w:line="360" w:lineRule="auto"/>
        <w:ind w:firstLine="480"/>
        <w:rPr>
          <w:rFonts w:hint="eastAsia" w:ascii="楷体" w:hAnsi="楷体" w:eastAsia="楷体"/>
          <w:sz w:val="24"/>
          <w:szCs w:val="24"/>
        </w:rPr>
      </w:pPr>
      <w:r>
        <w:rPr>
          <w:rFonts w:hint="eastAsia" w:ascii="楷体" w:hAnsi="楷体" w:eastAsia="楷体"/>
          <w:sz w:val="24"/>
          <w:szCs w:val="24"/>
        </w:rPr>
        <w:t>投标人应严格按照上述原则和国家等级保护相关标准开展项目实施工作。</w:t>
      </w:r>
    </w:p>
    <w:p>
      <w:pPr>
        <w:spacing w:line="360" w:lineRule="auto"/>
        <w:ind w:firstLine="480"/>
        <w:rPr>
          <w:rFonts w:hint="eastAsia" w:ascii="楷体" w:hAnsi="楷体" w:eastAsia="楷体"/>
          <w:b/>
          <w:sz w:val="24"/>
          <w:szCs w:val="24"/>
        </w:rPr>
      </w:pPr>
      <w:r>
        <w:rPr>
          <w:rFonts w:hint="eastAsia" w:ascii="楷体" w:hAnsi="楷体" w:eastAsia="楷体"/>
          <w:b/>
          <w:sz w:val="24"/>
          <w:szCs w:val="24"/>
        </w:rPr>
        <w:t>七、</w:t>
      </w:r>
      <w:r>
        <w:rPr>
          <w:rFonts w:ascii="楷体" w:hAnsi="楷体" w:eastAsia="楷体"/>
          <w:b/>
          <w:sz w:val="24"/>
          <w:szCs w:val="24"/>
        </w:rPr>
        <w:t>交付物</w:t>
      </w:r>
    </w:p>
    <w:p>
      <w:pPr>
        <w:spacing w:line="360" w:lineRule="auto"/>
        <w:ind w:firstLine="480"/>
        <w:rPr>
          <w:rFonts w:hint="eastAsia" w:ascii="楷体" w:hAnsi="楷体" w:eastAsia="楷体"/>
          <w:sz w:val="24"/>
          <w:szCs w:val="24"/>
        </w:rPr>
      </w:pPr>
      <w:r>
        <w:rPr>
          <w:rFonts w:ascii="楷体" w:hAnsi="楷体" w:eastAsia="楷体"/>
          <w:sz w:val="24"/>
          <w:szCs w:val="24"/>
        </w:rPr>
        <w:t>工作计划、流程、内容、及成果交付，严格遵循相关文件，根据实际情况，开展信息系统的等级测评，测评报告内容及格式严格遵照《信息系统安全等级测评报告模版》（202</w:t>
      </w:r>
      <w:r>
        <w:rPr>
          <w:rFonts w:hint="eastAsia" w:ascii="楷体" w:hAnsi="楷体" w:eastAsia="楷体"/>
          <w:sz w:val="24"/>
          <w:szCs w:val="24"/>
        </w:rPr>
        <w:t>5</w:t>
      </w:r>
      <w:r>
        <w:rPr>
          <w:rFonts w:ascii="楷体" w:hAnsi="楷体" w:eastAsia="楷体"/>
          <w:sz w:val="24"/>
          <w:szCs w:val="24"/>
        </w:rPr>
        <w:t>年版）撰写。</w:t>
      </w:r>
    </w:p>
    <w:p>
      <w:pPr>
        <w:spacing w:line="360" w:lineRule="auto"/>
        <w:ind w:firstLine="480"/>
        <w:rPr>
          <w:rFonts w:hint="eastAsia" w:ascii="楷体" w:hAnsi="楷体" w:eastAsia="楷体"/>
          <w:sz w:val="24"/>
          <w:szCs w:val="24"/>
        </w:rPr>
      </w:pPr>
      <w:r>
        <w:rPr>
          <w:rFonts w:ascii="楷体" w:hAnsi="楷体" w:eastAsia="楷体"/>
          <w:sz w:val="24"/>
          <w:szCs w:val="24"/>
        </w:rPr>
        <w:t>项目实施验收前应提交真实可靠、客观公正的系统测评文档，文档应包括但不限于以下内容：</w:t>
      </w:r>
    </w:p>
    <w:p>
      <w:pPr>
        <w:spacing w:line="360" w:lineRule="auto"/>
        <w:ind w:firstLine="480"/>
        <w:rPr>
          <w:rFonts w:hint="eastAsia" w:ascii="楷体" w:hAnsi="楷体" w:eastAsia="楷体"/>
          <w:sz w:val="24"/>
          <w:szCs w:val="24"/>
        </w:rPr>
      </w:pPr>
      <w:r>
        <w:rPr>
          <w:rFonts w:hint="eastAsia" w:ascii="楷体" w:hAnsi="楷体" w:eastAsia="楷体"/>
          <w:sz w:val="24"/>
          <w:szCs w:val="24"/>
        </w:rPr>
        <w:t>1.</w:t>
      </w:r>
      <w:r>
        <w:rPr>
          <w:rFonts w:ascii="楷体" w:hAnsi="楷体" w:eastAsia="楷体"/>
          <w:sz w:val="24"/>
          <w:szCs w:val="24"/>
        </w:rPr>
        <w:t>测评方案；</w:t>
      </w:r>
    </w:p>
    <w:p>
      <w:pPr>
        <w:spacing w:line="360" w:lineRule="auto"/>
        <w:ind w:firstLine="480"/>
        <w:rPr>
          <w:rFonts w:hint="eastAsia" w:ascii="楷体" w:hAnsi="楷体" w:eastAsia="楷体"/>
          <w:sz w:val="24"/>
          <w:szCs w:val="24"/>
        </w:rPr>
      </w:pPr>
      <w:r>
        <w:rPr>
          <w:rFonts w:hint="eastAsia" w:ascii="楷体" w:hAnsi="楷体" w:eastAsia="楷体"/>
          <w:sz w:val="24"/>
          <w:szCs w:val="24"/>
        </w:rPr>
        <w:t>2.</w:t>
      </w:r>
      <w:r>
        <w:rPr>
          <w:rFonts w:ascii="楷体" w:hAnsi="楷体" w:eastAsia="楷体"/>
          <w:sz w:val="24"/>
          <w:szCs w:val="24"/>
        </w:rPr>
        <w:t>安全建设整改建议；</w:t>
      </w:r>
    </w:p>
    <w:p>
      <w:pPr>
        <w:spacing w:line="360" w:lineRule="auto"/>
        <w:ind w:firstLine="480"/>
        <w:rPr>
          <w:rFonts w:hint="eastAsia" w:ascii="楷体" w:hAnsi="楷体" w:eastAsia="楷体"/>
          <w:sz w:val="24"/>
          <w:szCs w:val="24"/>
        </w:rPr>
      </w:pPr>
      <w:r>
        <w:rPr>
          <w:rFonts w:hint="eastAsia" w:ascii="楷体" w:hAnsi="楷体" w:eastAsia="楷体"/>
          <w:sz w:val="24"/>
          <w:szCs w:val="24"/>
        </w:rPr>
        <w:t>3.网络安全</w:t>
      </w:r>
      <w:r>
        <w:rPr>
          <w:rFonts w:ascii="楷体" w:hAnsi="楷体" w:eastAsia="楷体"/>
          <w:sz w:val="24"/>
          <w:szCs w:val="24"/>
        </w:rPr>
        <w:t>等级测评报告；</w:t>
      </w:r>
    </w:p>
    <w:p>
      <w:pPr>
        <w:spacing w:line="360" w:lineRule="auto"/>
        <w:ind w:firstLine="480"/>
        <w:rPr>
          <w:rFonts w:hint="eastAsia" w:ascii="楷体" w:hAnsi="楷体" w:eastAsia="楷体"/>
          <w:sz w:val="24"/>
          <w:szCs w:val="24"/>
        </w:rPr>
      </w:pPr>
      <w:r>
        <w:rPr>
          <w:rFonts w:hint="eastAsia" w:ascii="楷体" w:hAnsi="楷体" w:eastAsia="楷体"/>
          <w:sz w:val="24"/>
          <w:szCs w:val="24"/>
        </w:rPr>
        <w:t>4.公安相关部门出具的信息系统安全等级保护备案证明。</w:t>
      </w:r>
    </w:p>
    <w:p>
      <w:pPr>
        <w:spacing w:line="360" w:lineRule="auto"/>
        <w:ind w:firstLine="480"/>
        <w:rPr>
          <w:rFonts w:hint="eastAsia" w:ascii="楷体" w:hAnsi="楷体" w:eastAsia="楷体"/>
          <w:b/>
          <w:sz w:val="24"/>
          <w:szCs w:val="24"/>
        </w:rPr>
      </w:pPr>
      <w:r>
        <w:rPr>
          <w:rFonts w:hint="eastAsia" w:ascii="楷体" w:hAnsi="楷体" w:eastAsia="楷体"/>
          <w:b/>
          <w:sz w:val="24"/>
          <w:szCs w:val="24"/>
        </w:rPr>
        <w:t>八、安全意识和技能培训</w:t>
      </w:r>
    </w:p>
    <w:p>
      <w:pPr>
        <w:spacing w:line="360" w:lineRule="auto"/>
        <w:ind w:firstLine="480"/>
        <w:rPr>
          <w:rFonts w:hint="eastAsia" w:ascii="楷体" w:hAnsi="楷体" w:eastAsia="楷体"/>
          <w:sz w:val="24"/>
          <w:szCs w:val="24"/>
        </w:rPr>
      </w:pPr>
      <w:r>
        <w:rPr>
          <w:rFonts w:hint="eastAsia" w:ascii="楷体" w:hAnsi="楷体" w:eastAsia="楷体"/>
          <w:sz w:val="24"/>
          <w:szCs w:val="24"/>
        </w:rPr>
        <w:t>针对技术人员、管理层提供不同类型的信息安全培训，培训内容包括但不限于网络安全基础知识、等保测评知识交流、网络安全法知识普及、安全常识培训、安全意识培训等。</w:t>
      </w:r>
    </w:p>
    <w:p>
      <w:pPr>
        <w:spacing w:line="360" w:lineRule="auto"/>
        <w:ind w:firstLine="480"/>
        <w:rPr>
          <w:rFonts w:hint="eastAsia" w:ascii="楷体" w:hAnsi="楷体" w:eastAsia="楷体"/>
          <w:b/>
          <w:sz w:val="24"/>
          <w:szCs w:val="24"/>
        </w:rPr>
      </w:pPr>
      <w:r>
        <w:rPr>
          <w:rFonts w:hint="eastAsia" w:ascii="楷体" w:hAnsi="楷体" w:eastAsia="楷体"/>
          <w:b/>
          <w:sz w:val="24"/>
          <w:szCs w:val="24"/>
        </w:rPr>
        <w:t>九、项目完成期限</w:t>
      </w:r>
    </w:p>
    <w:p>
      <w:pPr>
        <w:spacing w:line="360" w:lineRule="auto"/>
        <w:ind w:firstLine="480"/>
        <w:rPr>
          <w:rFonts w:hint="eastAsia" w:ascii="楷体" w:hAnsi="楷体" w:eastAsia="楷体"/>
          <w:sz w:val="24"/>
          <w:szCs w:val="24"/>
        </w:rPr>
      </w:pPr>
      <w:r>
        <w:rPr>
          <w:rFonts w:hint="eastAsia" w:ascii="楷体" w:hAnsi="楷体" w:eastAsia="楷体"/>
          <w:sz w:val="24"/>
          <w:szCs w:val="24"/>
          <w:highlight w:val="yellow"/>
        </w:rPr>
        <w:t>合同签订之日</w:t>
      </w:r>
      <w:r>
        <w:rPr>
          <w:rFonts w:hint="eastAsia" w:ascii="楷体" w:hAnsi="楷体" w:eastAsia="楷体"/>
          <w:sz w:val="24"/>
          <w:szCs w:val="24"/>
          <w:highlight w:val="yellow"/>
          <w:lang w:val="en-US" w:eastAsia="zh-CN"/>
        </w:rPr>
        <w:t>起</w:t>
      </w:r>
      <w:r>
        <w:rPr>
          <w:rFonts w:hint="default" w:ascii="楷体" w:hAnsi="楷体" w:eastAsia="楷体"/>
          <w:sz w:val="24"/>
          <w:szCs w:val="24"/>
          <w:highlight w:val="yellow"/>
          <w:lang w:val="en-US"/>
        </w:rPr>
        <w:t>90</w:t>
      </w:r>
      <w:r>
        <w:rPr>
          <w:rFonts w:hint="eastAsia" w:ascii="楷体" w:hAnsi="楷体" w:eastAsia="楷体"/>
          <w:sz w:val="24"/>
          <w:szCs w:val="24"/>
          <w:highlight w:val="yellow"/>
        </w:rPr>
        <w:t>天内。</w:t>
      </w:r>
    </w:p>
    <w:p>
      <w:pPr>
        <w:tabs>
          <w:tab w:val="left" w:pos="8280"/>
        </w:tabs>
        <w:spacing w:line="360" w:lineRule="auto"/>
        <w:ind w:right="-1" w:firstLine="482"/>
        <w:rPr>
          <w:rFonts w:hint="eastAsia" w:ascii="楷体" w:hAnsi="楷体" w:eastAsia="楷体"/>
          <w:b/>
          <w:bCs/>
          <w:sz w:val="24"/>
          <w:szCs w:val="24"/>
        </w:rPr>
      </w:pPr>
      <w:r>
        <w:rPr>
          <w:rFonts w:hint="eastAsia" w:ascii="楷体" w:hAnsi="楷体" w:eastAsia="楷体"/>
          <w:b/>
          <w:bCs/>
          <w:sz w:val="24"/>
          <w:szCs w:val="24"/>
        </w:rPr>
        <w:t>十、</w:t>
      </w:r>
      <w:r>
        <w:rPr>
          <w:rFonts w:ascii="楷体" w:hAnsi="楷体" w:eastAsia="楷体"/>
          <w:b/>
          <w:bCs/>
          <w:sz w:val="24"/>
          <w:szCs w:val="24"/>
        </w:rPr>
        <w:t>售后服务支持</w:t>
      </w:r>
    </w:p>
    <w:p>
      <w:pPr>
        <w:tabs>
          <w:tab w:val="left" w:pos="8280"/>
        </w:tabs>
        <w:spacing w:line="360" w:lineRule="auto"/>
        <w:ind w:right="-1" w:firstLine="482"/>
        <w:rPr>
          <w:rFonts w:hint="eastAsia" w:ascii="楷体" w:hAnsi="楷体" w:eastAsia="楷体"/>
          <w:sz w:val="24"/>
          <w:szCs w:val="24"/>
        </w:rPr>
      </w:pPr>
      <w:bookmarkStart w:id="1" w:name="_Toc353394835"/>
      <w:bookmarkStart w:id="2" w:name="_Toc353391425"/>
      <w:r>
        <w:rPr>
          <w:rFonts w:hint="eastAsia" w:ascii="楷体" w:hAnsi="楷体" w:eastAsia="楷体"/>
          <w:sz w:val="24"/>
          <w:szCs w:val="24"/>
        </w:rPr>
        <w:t>1.投标人应自签订合同后，免费为招标人提供为期一年的咨询服务，7×24小时电话远程应急响应。</w:t>
      </w:r>
    </w:p>
    <w:p>
      <w:pPr>
        <w:spacing w:line="360" w:lineRule="auto"/>
        <w:ind w:firstLine="480"/>
        <w:rPr>
          <w:rFonts w:hint="eastAsia" w:ascii="楷体" w:hAnsi="楷体" w:eastAsia="楷体"/>
          <w:sz w:val="24"/>
          <w:szCs w:val="24"/>
        </w:rPr>
      </w:pPr>
      <w:r>
        <w:rPr>
          <w:rFonts w:hint="eastAsia" w:ascii="楷体" w:hAnsi="楷体" w:eastAsia="楷体"/>
          <w:sz w:val="24"/>
          <w:szCs w:val="24"/>
        </w:rPr>
        <w:t>2.提供信息系统的安全咨询和整改建议等技术支持服务，涵盖系统建设、运维、管理、技术等相关安全问题；协助开展内部网络与信息安全检查工作。</w:t>
      </w:r>
    </w:p>
    <w:p>
      <w:pPr>
        <w:tabs>
          <w:tab w:val="left" w:pos="8280"/>
        </w:tabs>
        <w:spacing w:line="360" w:lineRule="auto"/>
        <w:ind w:right="-1" w:firstLine="482"/>
        <w:rPr>
          <w:rFonts w:hint="eastAsia" w:ascii="楷体" w:hAnsi="楷体" w:eastAsia="楷体"/>
          <w:b/>
          <w:bCs/>
          <w:sz w:val="24"/>
          <w:szCs w:val="24"/>
        </w:rPr>
      </w:pPr>
      <w:r>
        <w:rPr>
          <w:rFonts w:hint="eastAsia" w:ascii="楷体" w:hAnsi="楷体" w:eastAsia="楷体"/>
          <w:b/>
          <w:bCs/>
          <w:sz w:val="24"/>
          <w:szCs w:val="24"/>
        </w:rPr>
        <w:t>十一、</w:t>
      </w:r>
      <w:r>
        <w:rPr>
          <w:rFonts w:ascii="楷体" w:hAnsi="楷体" w:eastAsia="楷体"/>
          <w:b/>
          <w:bCs/>
          <w:sz w:val="24"/>
          <w:szCs w:val="24"/>
        </w:rPr>
        <w:t>项目验收</w:t>
      </w:r>
      <w:bookmarkEnd w:id="1"/>
      <w:bookmarkEnd w:id="2"/>
      <w:r>
        <w:rPr>
          <w:rFonts w:ascii="楷体" w:hAnsi="楷体" w:eastAsia="楷体"/>
          <w:b/>
          <w:bCs/>
          <w:sz w:val="24"/>
          <w:szCs w:val="24"/>
        </w:rPr>
        <w:t xml:space="preserve"> </w:t>
      </w:r>
    </w:p>
    <w:p>
      <w:pPr>
        <w:spacing w:line="360" w:lineRule="auto"/>
        <w:ind w:firstLine="482"/>
        <w:rPr>
          <w:rFonts w:hint="eastAsia" w:ascii="楷体" w:hAnsi="楷体" w:eastAsia="楷体"/>
        </w:rPr>
      </w:pPr>
      <w:r>
        <w:rPr>
          <w:rFonts w:ascii="楷体" w:hAnsi="楷体" w:eastAsia="楷体"/>
          <w:sz w:val="24"/>
          <w:szCs w:val="24"/>
        </w:rPr>
        <w:t>招标人将依据本项目的要求，组织相关部门或单位的技术专家对投标人提交的项目成果进行验收。</w:t>
      </w:r>
      <w:r>
        <w:rPr>
          <w:rFonts w:ascii="楷体" w:hAnsi="楷体" w:eastAsia="楷体"/>
        </w:rPr>
        <w:br w:type="page"/>
      </w:r>
    </w:p>
    <w:p>
      <w:pPr>
        <w:ind w:firstLine="420"/>
        <w:jc w:val="center"/>
        <w:outlineLvl w:val="0"/>
        <w:rPr>
          <w:rFonts w:hint="eastAsia" w:ascii="楷体" w:hAnsi="楷体" w:eastAsia="楷体"/>
          <w:b/>
          <w:sz w:val="36"/>
          <w:szCs w:val="36"/>
        </w:rPr>
      </w:pPr>
      <w:r>
        <w:rPr>
          <w:rFonts w:ascii="楷体" w:hAnsi="楷体" w:eastAsia="楷体"/>
          <w:b/>
          <w:sz w:val="36"/>
          <w:szCs w:val="36"/>
        </w:rPr>
        <w:t>评分表及说明</w:t>
      </w:r>
    </w:p>
    <w:tbl>
      <w:tblPr>
        <w:tblStyle w:val="5"/>
        <w:tblW w:w="5083" w:type="pct"/>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24"/>
        <w:gridCol w:w="1816"/>
        <w:gridCol w:w="612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0" w:hRule="exact"/>
          <w:tblHeader/>
        </w:trPr>
        <w:tc>
          <w:tcPr>
            <w:tcW w:w="418" w:type="pct"/>
            <w:vAlign w:val="center"/>
          </w:tcPr>
          <w:p>
            <w:pPr>
              <w:spacing w:line="276" w:lineRule="auto"/>
              <w:jc w:val="center"/>
              <w:rPr>
                <w:rFonts w:hint="eastAsia" w:ascii="楷体" w:hAnsi="楷体" w:eastAsia="楷体"/>
                <w:b/>
                <w:szCs w:val="21"/>
              </w:rPr>
            </w:pPr>
            <w:r>
              <w:rPr>
                <w:rFonts w:ascii="楷体" w:hAnsi="楷体" w:eastAsia="楷体"/>
                <w:b/>
                <w:szCs w:val="21"/>
              </w:rPr>
              <w:t>序号</w:t>
            </w:r>
          </w:p>
        </w:tc>
        <w:tc>
          <w:tcPr>
            <w:tcW w:w="1048" w:type="pct"/>
            <w:vAlign w:val="center"/>
          </w:tcPr>
          <w:p>
            <w:pPr>
              <w:spacing w:line="276" w:lineRule="auto"/>
              <w:jc w:val="center"/>
              <w:rPr>
                <w:rFonts w:hint="eastAsia" w:ascii="楷体" w:hAnsi="楷体" w:eastAsia="楷体"/>
                <w:b/>
                <w:szCs w:val="21"/>
              </w:rPr>
            </w:pPr>
            <w:r>
              <w:rPr>
                <w:rFonts w:ascii="楷体" w:hAnsi="楷体" w:eastAsia="楷体"/>
                <w:b/>
                <w:szCs w:val="21"/>
              </w:rPr>
              <w:t>评分内容</w:t>
            </w:r>
          </w:p>
        </w:tc>
        <w:tc>
          <w:tcPr>
            <w:tcW w:w="3534" w:type="pct"/>
            <w:vAlign w:val="center"/>
          </w:tcPr>
          <w:p>
            <w:pPr>
              <w:spacing w:line="276" w:lineRule="auto"/>
              <w:jc w:val="center"/>
              <w:rPr>
                <w:rFonts w:hint="eastAsia" w:ascii="楷体" w:hAnsi="楷体" w:eastAsia="楷体"/>
                <w:b/>
                <w:szCs w:val="21"/>
              </w:rPr>
            </w:pPr>
            <w:r>
              <w:rPr>
                <w:rFonts w:ascii="楷体" w:hAnsi="楷体" w:eastAsia="楷体"/>
                <w:b/>
                <w:szCs w:val="21"/>
              </w:rPr>
              <w:t>评分标准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962" w:hRule="exact"/>
        </w:trPr>
        <w:tc>
          <w:tcPr>
            <w:tcW w:w="418" w:type="pct"/>
            <w:vAlign w:val="center"/>
          </w:tcPr>
          <w:p>
            <w:pPr>
              <w:spacing w:line="276" w:lineRule="auto"/>
              <w:jc w:val="center"/>
              <w:rPr>
                <w:rFonts w:hint="eastAsia" w:ascii="楷体" w:hAnsi="楷体" w:eastAsia="楷体"/>
                <w:szCs w:val="21"/>
              </w:rPr>
            </w:pPr>
            <w:r>
              <w:rPr>
                <w:rFonts w:ascii="楷体" w:hAnsi="楷体" w:eastAsia="楷体"/>
                <w:szCs w:val="21"/>
              </w:rPr>
              <w:t>1</w:t>
            </w:r>
          </w:p>
        </w:tc>
        <w:tc>
          <w:tcPr>
            <w:tcW w:w="1048" w:type="pct"/>
            <w:vAlign w:val="center"/>
          </w:tcPr>
          <w:p>
            <w:pPr>
              <w:spacing w:line="276" w:lineRule="auto"/>
              <w:jc w:val="center"/>
              <w:rPr>
                <w:rFonts w:hint="eastAsia" w:ascii="楷体" w:hAnsi="楷体" w:eastAsia="楷体"/>
                <w:szCs w:val="21"/>
              </w:rPr>
            </w:pPr>
            <w:r>
              <w:rPr>
                <w:rFonts w:ascii="楷体" w:hAnsi="楷体" w:eastAsia="楷体"/>
                <w:szCs w:val="21"/>
              </w:rPr>
              <w:t>商务报价（10分）</w:t>
            </w:r>
          </w:p>
        </w:tc>
        <w:tc>
          <w:tcPr>
            <w:tcW w:w="3534" w:type="pct"/>
            <w:vAlign w:val="center"/>
          </w:tcPr>
          <w:p>
            <w:pPr>
              <w:spacing w:line="276" w:lineRule="auto"/>
              <w:rPr>
                <w:rFonts w:hint="eastAsia" w:ascii="楷体" w:hAnsi="楷体" w:eastAsia="楷体"/>
                <w:szCs w:val="21"/>
              </w:rPr>
            </w:pPr>
            <w:r>
              <w:rPr>
                <w:rFonts w:hint="eastAsia" w:ascii="楷体" w:hAnsi="楷体" w:eastAsia="楷体"/>
                <w:szCs w:val="21"/>
              </w:rPr>
              <w:t>1.基准值：投标人有效报价的平均值。</w:t>
            </w:r>
          </w:p>
          <w:p>
            <w:pPr>
              <w:spacing w:line="276" w:lineRule="auto"/>
              <w:rPr>
                <w:rFonts w:hint="eastAsia" w:ascii="楷体" w:hAnsi="楷体" w:eastAsia="楷体"/>
                <w:szCs w:val="21"/>
              </w:rPr>
            </w:pPr>
            <w:r>
              <w:rPr>
                <w:rFonts w:hint="eastAsia" w:ascii="楷体" w:hAnsi="楷体" w:eastAsia="楷体"/>
                <w:szCs w:val="21"/>
              </w:rPr>
              <w:t>2.计算得分：有效报价等于基准值得标准分10分；在基准值的基础上每高1%减0.3分，每低1%减0.2分，减完为止。（报价得分保留两位小数，小数点后第三位四舍五入）</w:t>
            </w:r>
          </w:p>
          <w:p>
            <w:pPr>
              <w:spacing w:line="276" w:lineRule="auto"/>
              <w:rPr>
                <w:rFonts w:hint="eastAsia" w:ascii="楷体" w:hAnsi="楷体" w:eastAsia="楷体"/>
                <w:szCs w:val="21"/>
              </w:rPr>
            </w:pPr>
            <w:r>
              <w:rPr>
                <w:rFonts w:hint="eastAsia" w:ascii="楷体" w:hAnsi="楷体" w:eastAsia="楷体"/>
                <w:szCs w:val="21"/>
              </w:rPr>
              <w:t>3.有效报价：审查合格并经算术修正的投标报价为有效报价。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64" w:hRule="exact"/>
        </w:trPr>
        <w:tc>
          <w:tcPr>
            <w:tcW w:w="418" w:type="pct"/>
            <w:vAlign w:val="center"/>
          </w:tcPr>
          <w:p>
            <w:pPr>
              <w:spacing w:line="276" w:lineRule="auto"/>
              <w:jc w:val="center"/>
              <w:rPr>
                <w:rFonts w:hint="eastAsia" w:ascii="楷体" w:hAnsi="楷体" w:eastAsia="楷体"/>
                <w:szCs w:val="21"/>
              </w:rPr>
            </w:pPr>
            <w:r>
              <w:rPr>
                <w:rFonts w:ascii="楷体" w:hAnsi="楷体" w:eastAsia="楷体"/>
                <w:szCs w:val="21"/>
              </w:rPr>
              <w:t>2</w:t>
            </w:r>
          </w:p>
        </w:tc>
        <w:tc>
          <w:tcPr>
            <w:tcW w:w="1048" w:type="pct"/>
            <w:vAlign w:val="center"/>
          </w:tcPr>
          <w:p>
            <w:pPr>
              <w:spacing w:line="276" w:lineRule="auto"/>
              <w:jc w:val="center"/>
              <w:rPr>
                <w:rFonts w:hint="eastAsia" w:ascii="楷体" w:hAnsi="楷体" w:eastAsia="楷体"/>
                <w:szCs w:val="21"/>
              </w:rPr>
            </w:pPr>
            <w:r>
              <w:rPr>
                <w:rFonts w:ascii="楷体" w:hAnsi="楷体" w:eastAsia="楷体"/>
                <w:szCs w:val="21"/>
              </w:rPr>
              <w:t>同类业绩（10分）</w:t>
            </w:r>
          </w:p>
        </w:tc>
        <w:tc>
          <w:tcPr>
            <w:tcW w:w="3534" w:type="pct"/>
            <w:vAlign w:val="center"/>
          </w:tcPr>
          <w:p>
            <w:pPr>
              <w:spacing w:line="276" w:lineRule="auto"/>
              <w:rPr>
                <w:rFonts w:hint="eastAsia" w:ascii="楷体" w:hAnsi="楷体" w:eastAsia="楷体"/>
                <w:szCs w:val="21"/>
              </w:rPr>
            </w:pPr>
            <w:r>
              <w:rPr>
                <w:rFonts w:hint="eastAsia" w:ascii="楷体" w:hAnsi="楷体" w:eastAsia="楷体"/>
                <w:szCs w:val="21"/>
              </w:rPr>
              <w:t>每提供1份同类业绩合同扫描件，得</w:t>
            </w:r>
            <w:r>
              <w:rPr>
                <w:rFonts w:ascii="楷体" w:hAnsi="楷体" w:eastAsia="楷体"/>
                <w:szCs w:val="21"/>
              </w:rPr>
              <w:t>2</w:t>
            </w:r>
            <w:r>
              <w:rPr>
                <w:rFonts w:hint="eastAsia" w:ascii="楷体" w:hAnsi="楷体" w:eastAsia="楷体"/>
                <w:szCs w:val="21"/>
              </w:rPr>
              <w:t>分，此项最多得</w:t>
            </w:r>
            <w:r>
              <w:rPr>
                <w:rFonts w:ascii="楷体" w:hAnsi="楷体" w:eastAsia="楷体"/>
                <w:szCs w:val="21"/>
              </w:rPr>
              <w:t>10</w:t>
            </w:r>
            <w:r>
              <w:rPr>
                <w:rFonts w:hint="eastAsia" w:ascii="楷体" w:hAnsi="楷体" w:eastAsia="楷体"/>
                <w:szCs w:val="21"/>
              </w:rPr>
              <w:t>分。</w:t>
            </w:r>
          </w:p>
          <w:p>
            <w:pPr>
              <w:spacing w:line="276" w:lineRule="auto"/>
              <w:rPr>
                <w:rFonts w:hint="eastAsia" w:ascii="楷体" w:hAnsi="楷体" w:eastAsia="楷体"/>
                <w:szCs w:val="21"/>
              </w:rPr>
            </w:pPr>
            <w:r>
              <w:rPr>
                <w:rFonts w:hint="eastAsia" w:ascii="楷体" w:hAnsi="楷体" w:eastAsia="楷体"/>
                <w:szCs w:val="21"/>
              </w:rPr>
              <w:t>注：</w:t>
            </w:r>
            <w:r>
              <w:rPr>
                <w:rFonts w:ascii="楷体" w:hAnsi="楷体" w:eastAsia="楷体"/>
                <w:szCs w:val="21"/>
              </w:rPr>
              <w:t>业绩合同时间为202</w:t>
            </w:r>
            <w:r>
              <w:rPr>
                <w:rFonts w:hint="eastAsia" w:ascii="楷体" w:hAnsi="楷体" w:eastAsia="楷体"/>
                <w:szCs w:val="21"/>
              </w:rPr>
              <w:t>2</w:t>
            </w:r>
            <w:r>
              <w:rPr>
                <w:rFonts w:ascii="楷体" w:hAnsi="楷体" w:eastAsia="楷体"/>
                <w:szCs w:val="21"/>
              </w:rPr>
              <w:t>年</w:t>
            </w:r>
            <w:r>
              <w:rPr>
                <w:rFonts w:hint="eastAsia" w:ascii="楷体" w:hAnsi="楷体" w:eastAsia="楷体"/>
                <w:szCs w:val="21"/>
              </w:rPr>
              <w:t>8</w:t>
            </w:r>
            <w:r>
              <w:rPr>
                <w:rFonts w:ascii="楷体" w:hAnsi="楷体" w:eastAsia="楷体"/>
                <w:szCs w:val="21"/>
              </w:rPr>
              <w:t>月1日起至今（以合同签订日期为准）；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9" w:hRule="exact"/>
        </w:trPr>
        <w:tc>
          <w:tcPr>
            <w:tcW w:w="418" w:type="pct"/>
            <w:vAlign w:val="center"/>
          </w:tcPr>
          <w:p>
            <w:pPr>
              <w:spacing w:line="276" w:lineRule="auto"/>
              <w:jc w:val="center"/>
              <w:rPr>
                <w:rFonts w:hint="eastAsia" w:ascii="楷体" w:hAnsi="楷体" w:eastAsia="楷体"/>
                <w:szCs w:val="21"/>
              </w:rPr>
            </w:pPr>
            <w:r>
              <w:rPr>
                <w:rFonts w:hint="eastAsia" w:ascii="楷体" w:hAnsi="楷体" w:eastAsia="楷体"/>
                <w:szCs w:val="21"/>
              </w:rPr>
              <w:t>3</w:t>
            </w:r>
          </w:p>
        </w:tc>
        <w:tc>
          <w:tcPr>
            <w:tcW w:w="1048" w:type="pct"/>
            <w:vAlign w:val="center"/>
          </w:tcPr>
          <w:p>
            <w:pPr>
              <w:spacing w:line="276" w:lineRule="auto"/>
              <w:jc w:val="center"/>
              <w:rPr>
                <w:rFonts w:hint="eastAsia" w:ascii="楷体" w:hAnsi="楷体" w:eastAsia="楷体"/>
                <w:szCs w:val="21"/>
              </w:rPr>
            </w:pPr>
            <w:r>
              <w:rPr>
                <w:rFonts w:hint="eastAsia" w:ascii="楷体" w:hAnsi="楷体" w:eastAsia="楷体"/>
                <w:szCs w:val="21"/>
              </w:rPr>
              <w:t>投标人综合实力</w:t>
            </w:r>
            <w:r>
              <w:rPr>
                <w:rFonts w:ascii="楷体" w:hAnsi="楷体" w:eastAsia="楷体"/>
                <w:szCs w:val="21"/>
              </w:rPr>
              <w:t>（</w:t>
            </w:r>
            <w:r>
              <w:rPr>
                <w:rFonts w:hint="eastAsia" w:ascii="楷体" w:hAnsi="楷体" w:eastAsia="楷体"/>
                <w:szCs w:val="21"/>
              </w:rPr>
              <w:t>6</w:t>
            </w:r>
            <w:r>
              <w:rPr>
                <w:rFonts w:ascii="楷体" w:hAnsi="楷体" w:eastAsia="楷体"/>
                <w:szCs w:val="21"/>
              </w:rPr>
              <w:t>分）</w:t>
            </w:r>
          </w:p>
        </w:tc>
        <w:tc>
          <w:tcPr>
            <w:tcW w:w="3534" w:type="pct"/>
            <w:vAlign w:val="center"/>
          </w:tcPr>
          <w:p>
            <w:pPr>
              <w:pStyle w:val="11"/>
              <w:numPr>
                <w:ilvl w:val="0"/>
                <w:numId w:val="2"/>
              </w:numPr>
              <w:ind w:firstLineChars="0"/>
              <w:rPr>
                <w:rFonts w:hint="eastAsia" w:ascii="楷体" w:hAnsi="楷体" w:eastAsia="楷体"/>
                <w:szCs w:val="21"/>
              </w:rPr>
            </w:pPr>
            <w:r>
              <w:rPr>
                <w:rFonts w:hint="eastAsia" w:ascii="楷体" w:hAnsi="楷体" w:eastAsia="楷体"/>
                <w:szCs w:val="21"/>
              </w:rPr>
              <w:t>投标人具备质量管理体系认证证书，得2分；</w:t>
            </w:r>
          </w:p>
          <w:p>
            <w:pPr>
              <w:numPr>
                <w:ilvl w:val="0"/>
                <w:numId w:val="2"/>
              </w:numPr>
              <w:spacing w:line="276" w:lineRule="auto"/>
              <w:rPr>
                <w:rFonts w:hint="eastAsia" w:ascii="楷体" w:hAnsi="楷体" w:eastAsia="楷体"/>
                <w:szCs w:val="21"/>
              </w:rPr>
            </w:pPr>
            <w:r>
              <w:rPr>
                <w:rFonts w:hint="eastAsia" w:ascii="楷体" w:hAnsi="楷体" w:eastAsia="楷体"/>
                <w:szCs w:val="21"/>
              </w:rPr>
              <w:t>投标人具备信息安全管理体系认证证书，得2分；</w:t>
            </w:r>
          </w:p>
          <w:p>
            <w:pPr>
              <w:numPr>
                <w:ilvl w:val="0"/>
                <w:numId w:val="2"/>
              </w:numPr>
              <w:spacing w:line="276" w:lineRule="auto"/>
              <w:ind w:left="0" w:firstLine="0"/>
              <w:rPr>
                <w:rFonts w:hint="eastAsia" w:ascii="楷体" w:hAnsi="楷体" w:eastAsia="楷体"/>
                <w:szCs w:val="21"/>
              </w:rPr>
            </w:pPr>
            <w:r>
              <w:rPr>
                <w:rFonts w:hint="eastAsia" w:ascii="楷体" w:hAnsi="楷体" w:eastAsia="楷体"/>
                <w:szCs w:val="21"/>
              </w:rPr>
              <w:t>投标人具备网络安全服务认证证书检测评估（网络安全性测试）增强级，得2分；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2" w:hRule="atLeast"/>
        </w:trPr>
        <w:tc>
          <w:tcPr>
            <w:tcW w:w="418" w:type="pct"/>
            <w:vAlign w:val="center"/>
          </w:tcPr>
          <w:p>
            <w:pPr>
              <w:spacing w:line="276" w:lineRule="auto"/>
              <w:jc w:val="center"/>
              <w:rPr>
                <w:rFonts w:hint="eastAsia" w:ascii="楷体" w:hAnsi="楷体" w:eastAsia="楷体"/>
                <w:szCs w:val="21"/>
              </w:rPr>
            </w:pPr>
            <w:r>
              <w:rPr>
                <w:rFonts w:ascii="楷体" w:hAnsi="楷体" w:eastAsia="楷体"/>
                <w:szCs w:val="21"/>
              </w:rPr>
              <w:t>4</w:t>
            </w:r>
          </w:p>
        </w:tc>
        <w:tc>
          <w:tcPr>
            <w:tcW w:w="1048" w:type="pct"/>
            <w:vAlign w:val="center"/>
          </w:tcPr>
          <w:p>
            <w:pPr>
              <w:snapToGrid w:val="0"/>
              <w:spacing w:line="276" w:lineRule="auto"/>
              <w:jc w:val="center"/>
              <w:rPr>
                <w:rFonts w:hint="eastAsia" w:ascii="楷体" w:hAnsi="楷体" w:eastAsia="楷体"/>
                <w:szCs w:val="21"/>
              </w:rPr>
            </w:pPr>
            <w:r>
              <w:rPr>
                <w:rFonts w:ascii="楷体" w:hAnsi="楷体" w:eastAsia="楷体"/>
                <w:szCs w:val="21"/>
              </w:rPr>
              <w:t>项目实施方案（</w:t>
            </w:r>
            <w:r>
              <w:rPr>
                <w:rFonts w:hint="eastAsia" w:ascii="楷体" w:hAnsi="楷体" w:eastAsia="楷体"/>
                <w:szCs w:val="21"/>
              </w:rPr>
              <w:t>3</w:t>
            </w:r>
            <w:r>
              <w:rPr>
                <w:rFonts w:ascii="楷体" w:hAnsi="楷体" w:eastAsia="楷体"/>
                <w:szCs w:val="21"/>
              </w:rPr>
              <w:t>0分）</w:t>
            </w:r>
          </w:p>
        </w:tc>
        <w:tc>
          <w:tcPr>
            <w:tcW w:w="3534" w:type="pct"/>
            <w:vAlign w:val="center"/>
          </w:tcPr>
          <w:p>
            <w:pPr>
              <w:spacing w:line="276" w:lineRule="auto"/>
              <w:rPr>
                <w:rFonts w:hint="eastAsia" w:ascii="楷体" w:hAnsi="楷体" w:eastAsia="楷体"/>
                <w:szCs w:val="21"/>
              </w:rPr>
            </w:pPr>
            <w:r>
              <w:rPr>
                <w:rFonts w:hint="eastAsia" w:ascii="楷体" w:hAnsi="楷体" w:eastAsia="楷体"/>
                <w:szCs w:val="21"/>
              </w:rPr>
              <w:t>方案须依据国家及行业相关标准和规范，结构合理，逻辑清晰，包含测评概述、定级备案、测评方案、项目控制等内容。根据方案的合理性、合规性等由评委分三个档次在0-3</w:t>
            </w:r>
            <w:r>
              <w:rPr>
                <w:rFonts w:ascii="楷体" w:hAnsi="楷体" w:eastAsia="楷体"/>
                <w:szCs w:val="21"/>
              </w:rPr>
              <w:t>0</w:t>
            </w:r>
            <w:r>
              <w:rPr>
                <w:rFonts w:hint="eastAsia" w:ascii="楷体" w:hAnsi="楷体" w:eastAsia="楷体"/>
                <w:szCs w:val="21"/>
              </w:rPr>
              <w:t>分之间打分。</w:t>
            </w:r>
          </w:p>
          <w:p>
            <w:pPr>
              <w:spacing w:line="276" w:lineRule="auto"/>
              <w:rPr>
                <w:rFonts w:hint="eastAsia" w:ascii="楷体" w:hAnsi="楷体" w:eastAsia="楷体"/>
                <w:szCs w:val="21"/>
              </w:rPr>
            </w:pPr>
            <w:r>
              <w:rPr>
                <w:rFonts w:hint="eastAsia" w:ascii="楷体" w:hAnsi="楷体" w:eastAsia="楷体"/>
                <w:szCs w:val="21"/>
              </w:rPr>
              <w:t>第一档：方案逻辑性强，流程清晰规范，内容全面准确，进度、人员安排合理，符合国家及行业相关标准和规范，得21-30分。</w:t>
            </w:r>
          </w:p>
          <w:p>
            <w:pPr>
              <w:spacing w:line="276" w:lineRule="auto"/>
              <w:rPr>
                <w:rFonts w:hint="eastAsia" w:ascii="楷体" w:hAnsi="楷体" w:eastAsia="楷体"/>
                <w:szCs w:val="21"/>
              </w:rPr>
            </w:pPr>
            <w:r>
              <w:rPr>
                <w:rFonts w:hint="eastAsia" w:ascii="楷体" w:hAnsi="楷体" w:eastAsia="楷体"/>
                <w:szCs w:val="21"/>
              </w:rPr>
              <w:t>第二档：方案逻辑性一般，流程基本明确，内容基本全面，进度、人员安排基本合理，基本满足符合国家及行业相关标准和规范，得11-20分。</w:t>
            </w:r>
          </w:p>
          <w:p>
            <w:pPr>
              <w:spacing w:line="276" w:lineRule="auto"/>
              <w:rPr>
                <w:rFonts w:hint="eastAsia" w:ascii="楷体" w:hAnsi="楷体" w:eastAsia="楷体"/>
                <w:szCs w:val="21"/>
              </w:rPr>
            </w:pPr>
            <w:r>
              <w:rPr>
                <w:rFonts w:hint="eastAsia" w:ascii="楷体" w:hAnsi="楷体" w:eastAsia="楷体"/>
                <w:szCs w:val="21"/>
              </w:rPr>
              <w:t>第三档：方案逻辑性差，流程不明确，内容不全面，进度、人员安排不合理，与国家级行业相关标准和规范存在差距，得1-10分。</w:t>
            </w:r>
          </w:p>
          <w:p>
            <w:pPr>
              <w:spacing w:line="276" w:lineRule="auto"/>
              <w:rPr>
                <w:rFonts w:hint="eastAsia" w:ascii="楷体" w:hAnsi="楷体" w:eastAsia="楷体"/>
                <w:szCs w:val="21"/>
              </w:rPr>
            </w:pPr>
            <w:r>
              <w:rPr>
                <w:rFonts w:hint="eastAsia" w:ascii="楷体" w:hAnsi="楷体" w:eastAsia="楷体"/>
                <w:szCs w:val="21"/>
              </w:rPr>
              <w:t>不提供不得分。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2" w:hRule="atLeast"/>
        </w:trPr>
        <w:tc>
          <w:tcPr>
            <w:tcW w:w="418" w:type="pct"/>
            <w:vAlign w:val="center"/>
          </w:tcPr>
          <w:p>
            <w:pPr>
              <w:spacing w:line="276" w:lineRule="auto"/>
              <w:jc w:val="center"/>
              <w:rPr>
                <w:rFonts w:hint="eastAsia" w:ascii="楷体" w:hAnsi="楷体" w:eastAsia="楷体"/>
                <w:szCs w:val="21"/>
              </w:rPr>
            </w:pPr>
            <w:r>
              <w:rPr>
                <w:rFonts w:ascii="楷体" w:hAnsi="楷体" w:eastAsia="楷体"/>
                <w:szCs w:val="21"/>
              </w:rPr>
              <w:t>5</w:t>
            </w:r>
          </w:p>
        </w:tc>
        <w:tc>
          <w:tcPr>
            <w:tcW w:w="1048" w:type="pct"/>
            <w:vAlign w:val="center"/>
          </w:tcPr>
          <w:p>
            <w:pPr>
              <w:snapToGrid w:val="0"/>
              <w:spacing w:line="276" w:lineRule="auto"/>
              <w:jc w:val="center"/>
              <w:rPr>
                <w:rFonts w:hint="eastAsia" w:ascii="楷体" w:hAnsi="楷体" w:eastAsia="楷体"/>
                <w:szCs w:val="21"/>
              </w:rPr>
            </w:pPr>
            <w:r>
              <w:rPr>
                <w:rFonts w:ascii="楷体" w:hAnsi="楷体" w:eastAsia="楷体"/>
                <w:szCs w:val="21"/>
              </w:rPr>
              <w:t>服务团队（</w:t>
            </w:r>
            <w:r>
              <w:rPr>
                <w:rFonts w:hint="eastAsia" w:ascii="楷体" w:hAnsi="楷体" w:eastAsia="楷体"/>
                <w:szCs w:val="21"/>
              </w:rPr>
              <w:t>14</w:t>
            </w:r>
            <w:r>
              <w:rPr>
                <w:rFonts w:ascii="楷体" w:hAnsi="楷体" w:eastAsia="楷体"/>
                <w:szCs w:val="21"/>
              </w:rPr>
              <w:t>分）</w:t>
            </w:r>
          </w:p>
        </w:tc>
        <w:tc>
          <w:tcPr>
            <w:tcW w:w="3534" w:type="pct"/>
            <w:vAlign w:val="center"/>
          </w:tcPr>
          <w:p>
            <w:pPr>
              <w:numPr>
                <w:ilvl w:val="0"/>
                <w:numId w:val="3"/>
              </w:numPr>
              <w:adjustRightInd/>
              <w:snapToGrid w:val="0"/>
              <w:spacing w:line="276" w:lineRule="auto"/>
              <w:textAlignment w:val="auto"/>
              <w:rPr>
                <w:rFonts w:hint="eastAsia" w:ascii="楷体" w:hAnsi="楷体" w:eastAsia="楷体"/>
                <w:kern w:val="2"/>
                <w:szCs w:val="21"/>
              </w:rPr>
            </w:pPr>
            <w:r>
              <w:rPr>
                <w:rFonts w:hint="eastAsia" w:ascii="楷体" w:hAnsi="楷体" w:eastAsia="楷体"/>
                <w:kern w:val="2"/>
                <w:szCs w:val="21"/>
              </w:rPr>
              <w:t>项目团队中，拟投入的项目经理应具备</w:t>
            </w:r>
            <w:r>
              <w:rPr>
                <w:rFonts w:hint="eastAsia" w:ascii="楷体" w:hAnsi="楷体" w:eastAsia="楷体"/>
                <w:szCs w:val="21"/>
              </w:rPr>
              <w:t>网络安全等级测评师证书（高级）</w:t>
            </w:r>
            <w:r>
              <w:rPr>
                <w:rFonts w:hint="eastAsia" w:ascii="楷体" w:hAnsi="楷体" w:eastAsia="楷体"/>
                <w:kern w:val="2"/>
                <w:szCs w:val="21"/>
              </w:rPr>
              <w:t>，在此基础上每具备以下一项证书加2分，最多加8分；</w:t>
            </w:r>
          </w:p>
          <w:p>
            <w:pPr>
              <w:spacing w:line="276" w:lineRule="auto"/>
              <w:rPr>
                <w:rFonts w:hint="eastAsia" w:ascii="楷体" w:hAnsi="楷体" w:eastAsia="楷体"/>
                <w:szCs w:val="21"/>
              </w:rPr>
            </w:pPr>
            <w:r>
              <w:rPr>
                <w:rFonts w:hint="eastAsia" w:ascii="楷体" w:hAnsi="楷体" w:eastAsia="楷体"/>
                <w:szCs w:val="21"/>
              </w:rPr>
              <w:t>（1）信息系统项目管理师高级证书</w:t>
            </w:r>
          </w:p>
          <w:p>
            <w:pPr>
              <w:spacing w:line="276" w:lineRule="auto"/>
              <w:rPr>
                <w:rFonts w:hint="eastAsia" w:ascii="楷体" w:hAnsi="楷体" w:eastAsia="楷体"/>
                <w:szCs w:val="21"/>
              </w:rPr>
            </w:pPr>
            <w:r>
              <w:rPr>
                <w:rFonts w:hint="eastAsia" w:ascii="楷体" w:hAnsi="楷体" w:eastAsia="楷体"/>
                <w:szCs w:val="21"/>
              </w:rPr>
              <w:t>（2）注册信息系统安全认证专家（CISSP）证书</w:t>
            </w:r>
          </w:p>
          <w:p>
            <w:pPr>
              <w:spacing w:line="276" w:lineRule="auto"/>
              <w:rPr>
                <w:rFonts w:hint="eastAsia" w:ascii="楷体" w:hAnsi="楷体" w:eastAsia="楷体"/>
                <w:szCs w:val="21"/>
              </w:rPr>
            </w:pPr>
            <w:r>
              <w:rPr>
                <w:rFonts w:hint="eastAsia" w:ascii="楷体" w:hAnsi="楷体" w:eastAsia="楷体"/>
                <w:szCs w:val="21"/>
              </w:rPr>
              <w:t>（3）信息系统审计师认证证书（CCRC-ISA）</w:t>
            </w:r>
          </w:p>
          <w:p>
            <w:pPr>
              <w:spacing w:line="276" w:lineRule="auto"/>
              <w:rPr>
                <w:rFonts w:hint="eastAsia" w:ascii="楷体" w:hAnsi="楷体" w:eastAsia="楷体"/>
                <w:szCs w:val="21"/>
              </w:rPr>
            </w:pPr>
            <w:r>
              <w:rPr>
                <w:rFonts w:hint="eastAsia" w:ascii="楷体" w:hAnsi="楷体" w:eastAsia="楷体"/>
                <w:szCs w:val="21"/>
              </w:rPr>
              <w:t>（4）信息安全保障人员认证证书（CISAW）</w:t>
            </w:r>
          </w:p>
          <w:p>
            <w:pPr>
              <w:numPr>
                <w:ilvl w:val="0"/>
                <w:numId w:val="3"/>
              </w:numPr>
              <w:adjustRightInd/>
              <w:snapToGrid w:val="0"/>
              <w:spacing w:line="276" w:lineRule="auto"/>
              <w:textAlignment w:val="auto"/>
              <w:rPr>
                <w:rFonts w:hint="eastAsia" w:ascii="楷体" w:hAnsi="楷体" w:eastAsia="楷体"/>
                <w:szCs w:val="21"/>
              </w:rPr>
            </w:pPr>
            <w:r>
              <w:rPr>
                <w:rFonts w:hint="eastAsia" w:ascii="楷体" w:hAnsi="楷体" w:eastAsia="楷体"/>
                <w:szCs w:val="21"/>
              </w:rPr>
              <w:t>项目团队人员具有有效的注册信息安全专业人员CISP 证书，得1 分，此项最多得2分。</w:t>
            </w:r>
          </w:p>
          <w:p>
            <w:pPr>
              <w:spacing w:line="276" w:lineRule="auto"/>
              <w:rPr>
                <w:rFonts w:hint="eastAsia" w:ascii="楷体" w:hAnsi="楷体" w:eastAsia="楷体"/>
                <w:szCs w:val="21"/>
              </w:rPr>
            </w:pPr>
            <w:r>
              <w:rPr>
                <w:rFonts w:hint="eastAsia" w:ascii="楷体" w:hAnsi="楷体" w:eastAsia="楷体"/>
                <w:kern w:val="2"/>
                <w:szCs w:val="21"/>
              </w:rPr>
              <w:t>3、项目服务团队至少配备5名测评师，其中高级测评师不少于1名，中级测评师不少于2名，初级测评师不少于2名；在此基础上每多提供</w:t>
            </w:r>
            <w:r>
              <w:rPr>
                <w:rFonts w:ascii="楷体" w:hAnsi="楷体" w:eastAsia="楷体"/>
                <w:kern w:val="2"/>
                <w:szCs w:val="21"/>
              </w:rPr>
              <w:t>1</w:t>
            </w:r>
            <w:r>
              <w:rPr>
                <w:rFonts w:hint="eastAsia" w:ascii="楷体" w:hAnsi="楷体" w:eastAsia="楷体"/>
                <w:kern w:val="2"/>
                <w:szCs w:val="21"/>
              </w:rPr>
              <w:t>名高级测评师加3分，每多提供1名中级测评师加2分，每多提供1名初级评师加1分，此项最多得4分。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33" w:hRule="atLeast"/>
        </w:trPr>
        <w:tc>
          <w:tcPr>
            <w:tcW w:w="418" w:type="pct"/>
            <w:vAlign w:val="center"/>
          </w:tcPr>
          <w:p>
            <w:pPr>
              <w:spacing w:line="276" w:lineRule="auto"/>
              <w:jc w:val="center"/>
              <w:rPr>
                <w:rFonts w:hint="eastAsia" w:ascii="楷体" w:hAnsi="楷体" w:eastAsia="楷体"/>
                <w:szCs w:val="21"/>
              </w:rPr>
            </w:pPr>
            <w:r>
              <w:rPr>
                <w:rFonts w:hint="eastAsia" w:ascii="楷体" w:hAnsi="楷体" w:eastAsia="楷体"/>
                <w:szCs w:val="21"/>
              </w:rPr>
              <w:t>6</w:t>
            </w:r>
          </w:p>
        </w:tc>
        <w:tc>
          <w:tcPr>
            <w:tcW w:w="1048" w:type="pct"/>
            <w:vAlign w:val="center"/>
          </w:tcPr>
          <w:p>
            <w:pPr>
              <w:snapToGrid w:val="0"/>
              <w:spacing w:line="276" w:lineRule="auto"/>
              <w:jc w:val="center"/>
              <w:rPr>
                <w:rFonts w:hint="eastAsia" w:ascii="楷体" w:hAnsi="楷体" w:eastAsia="楷体"/>
                <w:szCs w:val="21"/>
              </w:rPr>
            </w:pPr>
            <w:r>
              <w:rPr>
                <w:rFonts w:ascii="楷体" w:hAnsi="楷体" w:eastAsia="楷体"/>
                <w:szCs w:val="21"/>
              </w:rPr>
              <w:t>培训方案（1</w:t>
            </w:r>
            <w:r>
              <w:rPr>
                <w:rFonts w:hint="eastAsia" w:ascii="楷体" w:hAnsi="楷体" w:eastAsia="楷体"/>
                <w:szCs w:val="21"/>
              </w:rPr>
              <w:t>5</w:t>
            </w:r>
            <w:r>
              <w:rPr>
                <w:rFonts w:ascii="楷体" w:hAnsi="楷体" w:eastAsia="楷体"/>
                <w:szCs w:val="21"/>
              </w:rPr>
              <w:t>分）</w:t>
            </w:r>
          </w:p>
        </w:tc>
        <w:tc>
          <w:tcPr>
            <w:tcW w:w="3534" w:type="pct"/>
            <w:vAlign w:val="center"/>
          </w:tcPr>
          <w:p>
            <w:pPr>
              <w:spacing w:line="276" w:lineRule="auto"/>
              <w:rPr>
                <w:rFonts w:hint="eastAsia" w:ascii="楷体" w:hAnsi="楷体" w:eastAsia="楷体"/>
                <w:szCs w:val="21"/>
              </w:rPr>
            </w:pPr>
            <w:r>
              <w:rPr>
                <w:rFonts w:hint="eastAsia" w:ascii="楷体" w:hAnsi="楷体" w:eastAsia="楷体"/>
                <w:szCs w:val="21"/>
              </w:rPr>
              <w:t>按照项目培训安排的优劣进行比较评价：</w:t>
            </w:r>
          </w:p>
          <w:p>
            <w:pPr>
              <w:spacing w:line="276" w:lineRule="auto"/>
              <w:rPr>
                <w:rFonts w:hint="eastAsia" w:ascii="楷体" w:hAnsi="楷体" w:eastAsia="楷体"/>
                <w:szCs w:val="21"/>
              </w:rPr>
            </w:pPr>
            <w:r>
              <w:rPr>
                <w:rFonts w:hint="eastAsia" w:ascii="楷体" w:hAnsi="楷体" w:eastAsia="楷体"/>
                <w:szCs w:val="21"/>
              </w:rPr>
              <w:t>培训内容丰富、培训时间合理，培训人员覆盖面广，培训师资强，得11-15分；</w:t>
            </w:r>
          </w:p>
          <w:p>
            <w:pPr>
              <w:spacing w:line="276" w:lineRule="auto"/>
              <w:rPr>
                <w:rFonts w:hint="eastAsia" w:ascii="楷体" w:hAnsi="楷体" w:eastAsia="楷体"/>
                <w:szCs w:val="21"/>
              </w:rPr>
            </w:pPr>
            <w:r>
              <w:rPr>
                <w:rFonts w:hint="eastAsia" w:ascii="楷体" w:hAnsi="楷体" w:eastAsia="楷体"/>
                <w:szCs w:val="21"/>
              </w:rPr>
              <w:t>培训内容较全面、培训时间合理、培训人员覆盖面到位，培训师资较强，得 6-10分；</w:t>
            </w:r>
          </w:p>
          <w:p>
            <w:pPr>
              <w:spacing w:line="276" w:lineRule="auto"/>
              <w:rPr>
                <w:rFonts w:hint="eastAsia" w:ascii="楷体" w:hAnsi="楷体" w:eastAsia="楷体"/>
                <w:szCs w:val="21"/>
              </w:rPr>
            </w:pPr>
            <w:r>
              <w:rPr>
                <w:rFonts w:hint="eastAsia" w:ascii="楷体" w:hAnsi="楷体" w:eastAsia="楷体"/>
                <w:szCs w:val="21"/>
              </w:rPr>
              <w:t>培训内容一般、培训时间合理，培训人员覆盖面窄，培训师资一般，得1-5 分。</w:t>
            </w:r>
          </w:p>
          <w:p>
            <w:pPr>
              <w:spacing w:line="276" w:lineRule="auto"/>
              <w:rPr>
                <w:rFonts w:hint="eastAsia" w:ascii="楷体" w:hAnsi="楷体" w:eastAsia="楷体"/>
                <w:szCs w:val="21"/>
              </w:rPr>
            </w:pPr>
            <w:r>
              <w:rPr>
                <w:rFonts w:hint="eastAsia" w:ascii="楷体" w:hAnsi="楷体" w:eastAsia="楷体"/>
                <w:szCs w:val="21"/>
              </w:rPr>
              <w:t>不提供不得分。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08" w:hRule="atLeast"/>
        </w:trPr>
        <w:tc>
          <w:tcPr>
            <w:tcW w:w="418" w:type="pct"/>
            <w:vAlign w:val="center"/>
          </w:tcPr>
          <w:p>
            <w:pPr>
              <w:spacing w:line="276" w:lineRule="auto"/>
              <w:jc w:val="center"/>
              <w:rPr>
                <w:rFonts w:hint="eastAsia" w:ascii="楷体" w:hAnsi="楷体" w:eastAsia="楷体"/>
                <w:szCs w:val="21"/>
              </w:rPr>
            </w:pPr>
            <w:r>
              <w:rPr>
                <w:rFonts w:hint="eastAsia" w:ascii="楷体" w:hAnsi="楷体" w:eastAsia="楷体"/>
                <w:szCs w:val="21"/>
              </w:rPr>
              <w:t>7</w:t>
            </w:r>
          </w:p>
        </w:tc>
        <w:tc>
          <w:tcPr>
            <w:tcW w:w="1048" w:type="pct"/>
            <w:vAlign w:val="center"/>
          </w:tcPr>
          <w:p>
            <w:pPr>
              <w:snapToGrid w:val="0"/>
              <w:spacing w:line="276" w:lineRule="auto"/>
              <w:jc w:val="center"/>
              <w:rPr>
                <w:rFonts w:hint="eastAsia" w:ascii="楷体" w:hAnsi="楷体" w:eastAsia="楷体"/>
                <w:szCs w:val="21"/>
              </w:rPr>
            </w:pPr>
            <w:r>
              <w:rPr>
                <w:rFonts w:ascii="楷体" w:hAnsi="楷体" w:eastAsia="楷体"/>
                <w:szCs w:val="21"/>
              </w:rPr>
              <w:t>售后服务（</w:t>
            </w:r>
            <w:r>
              <w:rPr>
                <w:rFonts w:hint="eastAsia" w:ascii="楷体" w:hAnsi="楷体" w:eastAsia="楷体"/>
                <w:szCs w:val="21"/>
              </w:rPr>
              <w:t>15</w:t>
            </w:r>
            <w:r>
              <w:rPr>
                <w:rFonts w:ascii="楷体" w:hAnsi="楷体" w:eastAsia="楷体"/>
                <w:szCs w:val="21"/>
              </w:rPr>
              <w:t>分）</w:t>
            </w:r>
          </w:p>
        </w:tc>
        <w:tc>
          <w:tcPr>
            <w:tcW w:w="3534" w:type="pct"/>
            <w:vAlign w:val="center"/>
          </w:tcPr>
          <w:p>
            <w:pPr>
              <w:spacing w:line="276" w:lineRule="auto"/>
              <w:rPr>
                <w:rFonts w:hint="eastAsia" w:ascii="楷体" w:hAnsi="楷体" w:eastAsia="楷体"/>
                <w:szCs w:val="21"/>
              </w:rPr>
            </w:pPr>
            <w:r>
              <w:rPr>
                <w:rFonts w:hint="eastAsia" w:ascii="楷体" w:hAnsi="楷体" w:eastAsia="楷体"/>
                <w:szCs w:val="21"/>
              </w:rPr>
              <w:t>售后</w:t>
            </w:r>
            <w:r>
              <w:rPr>
                <w:rFonts w:ascii="楷体" w:hAnsi="楷体" w:eastAsia="楷体"/>
                <w:szCs w:val="21"/>
              </w:rPr>
              <w:t>服务内容包含但不限于：</w:t>
            </w:r>
            <w:r>
              <w:rPr>
                <w:rFonts w:hint="eastAsia" w:ascii="楷体" w:hAnsi="楷体" w:eastAsia="楷体"/>
                <w:szCs w:val="21"/>
              </w:rPr>
              <w:t>免费咨询服务等，根据投标人的售后服务、技术支持能力与承诺优劣进行综合比较评价，</w:t>
            </w:r>
          </w:p>
          <w:p>
            <w:pPr>
              <w:spacing w:line="276" w:lineRule="auto"/>
              <w:rPr>
                <w:rFonts w:hint="eastAsia" w:ascii="楷体" w:hAnsi="楷体" w:eastAsia="楷体"/>
                <w:szCs w:val="21"/>
              </w:rPr>
            </w:pPr>
            <w:r>
              <w:rPr>
                <w:rFonts w:hint="eastAsia" w:ascii="楷体" w:hAnsi="楷体" w:eastAsia="楷体"/>
                <w:szCs w:val="21"/>
              </w:rPr>
              <w:t>优秀，售后服务内容完整</w:t>
            </w:r>
            <w:r>
              <w:rPr>
                <w:rFonts w:ascii="楷体" w:hAnsi="楷体" w:eastAsia="楷体"/>
                <w:szCs w:val="21"/>
              </w:rPr>
              <w:t>，</w:t>
            </w:r>
            <w:r>
              <w:rPr>
                <w:rFonts w:hint="eastAsia" w:ascii="楷体" w:hAnsi="楷体" w:eastAsia="楷体"/>
                <w:szCs w:val="21"/>
              </w:rPr>
              <w:t>保障及措施完善，技术支持能力强，服务响应快，响应程度高或优于采购售后服务需求的，得 11-15分；</w:t>
            </w:r>
          </w:p>
          <w:p>
            <w:pPr>
              <w:spacing w:line="276" w:lineRule="auto"/>
              <w:rPr>
                <w:rFonts w:hint="eastAsia" w:ascii="楷体" w:hAnsi="楷体" w:eastAsia="楷体"/>
                <w:szCs w:val="21"/>
              </w:rPr>
            </w:pPr>
            <w:r>
              <w:rPr>
                <w:rFonts w:hint="eastAsia" w:ascii="楷体" w:hAnsi="楷体" w:eastAsia="楷体"/>
                <w:szCs w:val="21"/>
              </w:rPr>
              <w:t>良好，售后服务内容较完整</w:t>
            </w:r>
            <w:r>
              <w:rPr>
                <w:rFonts w:ascii="楷体" w:hAnsi="楷体" w:eastAsia="楷体"/>
                <w:szCs w:val="21"/>
              </w:rPr>
              <w:t>，</w:t>
            </w:r>
            <w:r>
              <w:rPr>
                <w:rFonts w:hint="eastAsia" w:ascii="楷体" w:hAnsi="楷体" w:eastAsia="楷体"/>
                <w:szCs w:val="21"/>
              </w:rPr>
              <w:t>保障及措施较好，技术支持能力较强，服务响应较快，满足采购需求，得</w:t>
            </w:r>
            <w:r>
              <w:rPr>
                <w:rFonts w:ascii="楷体" w:hAnsi="楷体" w:eastAsia="楷体"/>
                <w:szCs w:val="21"/>
              </w:rPr>
              <w:t>6</w:t>
            </w:r>
            <w:r>
              <w:rPr>
                <w:rFonts w:hint="eastAsia" w:ascii="楷体" w:hAnsi="楷体" w:eastAsia="楷体"/>
                <w:szCs w:val="21"/>
              </w:rPr>
              <w:t>-10分；</w:t>
            </w:r>
          </w:p>
          <w:p>
            <w:pPr>
              <w:spacing w:line="276" w:lineRule="auto"/>
              <w:rPr>
                <w:rFonts w:hint="eastAsia" w:ascii="楷体" w:hAnsi="楷体" w:eastAsia="楷体"/>
                <w:szCs w:val="21"/>
              </w:rPr>
            </w:pPr>
            <w:r>
              <w:rPr>
                <w:rFonts w:hint="eastAsia" w:ascii="楷体" w:hAnsi="楷体" w:eastAsia="楷体"/>
                <w:szCs w:val="21"/>
              </w:rPr>
              <w:t>一般，售后服务内容基本完整</w:t>
            </w:r>
            <w:r>
              <w:rPr>
                <w:rFonts w:ascii="楷体" w:hAnsi="楷体" w:eastAsia="楷体"/>
                <w:szCs w:val="21"/>
              </w:rPr>
              <w:t>，</w:t>
            </w:r>
            <w:r>
              <w:rPr>
                <w:rFonts w:hint="eastAsia" w:ascii="楷体" w:hAnsi="楷体" w:eastAsia="楷体"/>
                <w:szCs w:val="21"/>
              </w:rPr>
              <w:t>保障及措施基本符合招标要求，但技术支持能力和服务响应速度较差或一般，得1-5分。</w:t>
            </w:r>
          </w:p>
          <w:p>
            <w:pPr>
              <w:spacing w:line="276" w:lineRule="auto"/>
              <w:rPr>
                <w:rFonts w:hint="eastAsia" w:ascii="楷体" w:hAnsi="楷体" w:eastAsia="楷体"/>
                <w:szCs w:val="21"/>
              </w:rPr>
            </w:pPr>
            <w:r>
              <w:rPr>
                <w:rFonts w:hint="eastAsia" w:ascii="楷体" w:hAnsi="楷体" w:eastAsia="楷体"/>
                <w:szCs w:val="21"/>
              </w:rPr>
              <w:t>不提供不得分。</w:t>
            </w:r>
          </w:p>
        </w:tc>
      </w:tr>
    </w:tbl>
    <w:p>
      <w:pPr>
        <w:spacing w:line="400" w:lineRule="exact"/>
        <w:rPr>
          <w:rFonts w:hint="eastAsia" w:ascii="楷体" w:hAnsi="楷体" w:eastAsia="楷体"/>
          <w:sz w:val="24"/>
          <w:szCs w:val="24"/>
        </w:rPr>
      </w:pPr>
      <w:r>
        <w:rPr>
          <w:rFonts w:ascii="楷体" w:hAnsi="楷体" w:eastAsia="楷体"/>
          <w:sz w:val="24"/>
        </w:rPr>
        <w:t>评分说明</w:t>
      </w:r>
      <w:r>
        <w:rPr>
          <w:rFonts w:ascii="楷体" w:hAnsi="楷体" w:eastAsia="楷体"/>
        </w:rPr>
        <w:t>：</w:t>
      </w:r>
      <w:r>
        <w:rPr>
          <w:rFonts w:ascii="楷体" w:hAnsi="楷体" w:eastAsia="楷体"/>
          <w:sz w:val="24"/>
        </w:rPr>
        <w:t xml:space="preserve"> 投标人综合得分为所有评委打分的算术平均值。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bullet"/>
      <w:suff w:val="nothing"/>
      <w:lvlText w:val=""/>
      <w:lvlJc w:val="left"/>
      <w:pPr>
        <w:ind w:left="922" w:hanging="440"/>
      </w:pPr>
      <w:rPr>
        <w:rFonts w:hint="default" w:ascii="Wingdings" w:hAnsi="Wingdings"/>
      </w:rPr>
    </w:lvl>
    <w:lvl w:ilvl="1" w:tentative="0">
      <w:start w:val="1"/>
      <w:numFmt w:val="bullet"/>
      <w:lvlText w:val=""/>
      <w:lvlJc w:val="left"/>
      <w:pPr>
        <w:ind w:left="1362" w:hanging="440"/>
      </w:pPr>
      <w:rPr>
        <w:rFonts w:hint="default" w:ascii="Wingdings" w:hAnsi="Wingdings"/>
      </w:rPr>
    </w:lvl>
    <w:lvl w:ilvl="2" w:tentative="0">
      <w:start w:val="1"/>
      <w:numFmt w:val="bullet"/>
      <w:lvlText w:val=""/>
      <w:lvlJc w:val="left"/>
      <w:pPr>
        <w:ind w:left="1802" w:hanging="440"/>
      </w:pPr>
      <w:rPr>
        <w:rFonts w:hint="default" w:ascii="Wingdings" w:hAnsi="Wingdings"/>
      </w:rPr>
    </w:lvl>
    <w:lvl w:ilvl="3" w:tentative="0">
      <w:start w:val="1"/>
      <w:numFmt w:val="bullet"/>
      <w:lvlText w:val=""/>
      <w:lvlJc w:val="left"/>
      <w:pPr>
        <w:ind w:left="2242" w:hanging="440"/>
      </w:pPr>
      <w:rPr>
        <w:rFonts w:hint="default" w:ascii="Wingdings" w:hAnsi="Wingdings"/>
      </w:rPr>
    </w:lvl>
    <w:lvl w:ilvl="4" w:tentative="0">
      <w:start w:val="1"/>
      <w:numFmt w:val="bullet"/>
      <w:lvlText w:val=""/>
      <w:lvlJc w:val="left"/>
      <w:pPr>
        <w:ind w:left="2682" w:hanging="440"/>
      </w:pPr>
      <w:rPr>
        <w:rFonts w:hint="default" w:ascii="Wingdings" w:hAnsi="Wingdings"/>
      </w:rPr>
    </w:lvl>
    <w:lvl w:ilvl="5" w:tentative="0">
      <w:start w:val="1"/>
      <w:numFmt w:val="bullet"/>
      <w:lvlText w:val=""/>
      <w:lvlJc w:val="left"/>
      <w:pPr>
        <w:ind w:left="3122" w:hanging="440"/>
      </w:pPr>
      <w:rPr>
        <w:rFonts w:hint="default" w:ascii="Wingdings" w:hAnsi="Wingdings"/>
      </w:rPr>
    </w:lvl>
    <w:lvl w:ilvl="6" w:tentative="0">
      <w:start w:val="1"/>
      <w:numFmt w:val="bullet"/>
      <w:lvlText w:val=""/>
      <w:lvlJc w:val="left"/>
      <w:pPr>
        <w:ind w:left="3562" w:hanging="440"/>
      </w:pPr>
      <w:rPr>
        <w:rFonts w:hint="default" w:ascii="Wingdings" w:hAnsi="Wingdings"/>
      </w:rPr>
    </w:lvl>
    <w:lvl w:ilvl="7" w:tentative="0">
      <w:start w:val="1"/>
      <w:numFmt w:val="bullet"/>
      <w:lvlText w:val=""/>
      <w:lvlJc w:val="left"/>
      <w:pPr>
        <w:ind w:left="4002" w:hanging="440"/>
      </w:pPr>
      <w:rPr>
        <w:rFonts w:hint="default" w:ascii="Wingdings" w:hAnsi="Wingdings"/>
      </w:rPr>
    </w:lvl>
    <w:lvl w:ilvl="8" w:tentative="0">
      <w:start w:val="1"/>
      <w:numFmt w:val="bullet"/>
      <w:lvlText w:val=""/>
      <w:lvlJc w:val="left"/>
      <w:pPr>
        <w:ind w:left="4442" w:hanging="44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32D281B"/>
    <w:rsid w:val="4BD55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宋体" w:cs="Times New Roman"/>
      <w:sz w:val="21"/>
      <w:lang w:val="en-US" w:eastAsia="zh-CN" w:bidi="ar-SA"/>
    </w:rPr>
  </w:style>
  <w:style w:type="character" w:default="1" w:styleId="6">
    <w:name w:val="Default Paragraph Font"/>
    <w:uiPriority w:val="1"/>
  </w:style>
  <w:style w:type="table" w:default="1" w:styleId="5">
    <w:name w:val="Normal Table"/>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paragraph" w:styleId="4">
    <w:name w:val="Body Text 2"/>
    <w:basedOn w:val="1"/>
    <w:link w:val="10"/>
    <w:uiPriority w:val="99"/>
    <w:pPr>
      <w:spacing w:after="120" w:line="480" w:lineRule="auto"/>
    </w:p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customStyle="1" w:styleId="9">
    <w:name w:val="正文1"/>
    <w:next w:val="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
    <w:name w:val="正文文本 2 字符"/>
    <w:basedOn w:val="6"/>
    <w:link w:val="4"/>
    <w:uiPriority w:val="99"/>
    <w:rPr>
      <w:rFonts w:ascii="Calibri" w:hAnsi="Calibri" w:eastAsia="宋体" w:cs="Times New Roman"/>
      <w:kern w:val="0"/>
      <w:szCs w:val="20"/>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4922</Words>
  <Characters>5203</Characters>
  <Paragraphs>146</Paragraphs>
  <TotalTime>87</TotalTime>
  <ScaleCrop>false</ScaleCrop>
  <LinksUpToDate>false</LinksUpToDate>
  <CharactersWithSpaces>5243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2026-03-16T00:40:00Z</dcterms:created>
  <dc:creator>WPS Office</dc:creator>
  <cp:lastModifiedBy>1</cp:lastModifiedBy>
  <dcterms:modified xsi:type="dcterms:W3CDTF">2026-05-22T01:06:35Z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1044e2c68a5e4e21bd1832769dbb8938_23</vt:lpwstr>
  </property>
</Properties>
</file>